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421" w:rsidRPr="00E57A34" w:rsidRDefault="008E3629" w:rsidP="009A23DD">
      <w:pPr>
        <w:pStyle w:val="Title"/>
      </w:pPr>
      <w:r>
        <w:t xml:space="preserve">MTSS </w:t>
      </w:r>
      <w:r w:rsidR="00104034">
        <w:t xml:space="preserve">Secondary </w:t>
      </w:r>
      <w:r>
        <w:t xml:space="preserve">Professional Learning Overview: Tier 1 Reading </w:t>
      </w:r>
    </w:p>
    <w:p w:rsidR="009E2421" w:rsidRPr="0048670C" w:rsidRDefault="004614C1" w:rsidP="009E2421">
      <w:pPr>
        <w:jc w:val="center"/>
      </w:pPr>
      <w:r>
        <w:t>Version 1.0</w:t>
      </w:r>
      <w:r w:rsidR="009E2421" w:rsidRPr="0048670C">
        <w:br/>
      </w:r>
      <w:r w:rsidR="00104034">
        <w:t>February 2019</w:t>
      </w:r>
    </w:p>
    <w:p w:rsidR="009E2421" w:rsidRPr="0048670C" w:rsidRDefault="009E2421" w:rsidP="009E2421">
      <w:pPr>
        <w:pStyle w:val="AgencyName"/>
        <w:ind w:left="360"/>
      </w:pPr>
      <w:r w:rsidRPr="004C5921">
        <w:drawing>
          <wp:inline distT="0" distB="0" distL="0" distR="0" wp14:anchorId="6446D0C1" wp14:editId="0BC37520">
            <wp:extent cx="1842580" cy="548640"/>
            <wp:effectExtent l="0" t="0" r="12065" b="10160"/>
            <wp:docPr id="1" name="Picture 1" descr="Michigan's Integrated Behavior and Learning Support Initi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42580" cy="548640"/>
                    </a:xfrm>
                    <a:prstGeom prst="rect">
                      <a:avLst/>
                    </a:prstGeom>
                  </pic:spPr>
                </pic:pic>
              </a:graphicData>
            </a:graphic>
          </wp:inline>
        </w:drawing>
      </w:r>
    </w:p>
    <w:p w:rsidR="009E2421" w:rsidRPr="0048670C" w:rsidRDefault="009E2421" w:rsidP="009E2421">
      <w:pPr>
        <w:pStyle w:val="FundingStatement0"/>
      </w:pPr>
      <w:r w:rsidRPr="0048670C">
        <w:t>Michigan’s Integrated Behavior and Learning Support Initiative</w:t>
      </w:r>
      <w:r>
        <w:t xml:space="preserve"> (MIBLSI) is a Grant Funded Initiative (GFI) funded under the </w:t>
      </w:r>
      <w:r w:rsidRPr="003D11CB">
        <w:rPr>
          <w:rStyle w:val="Emphasis"/>
        </w:rPr>
        <w:t>Individuals with Disabilities Education Act</w:t>
      </w:r>
      <w:r>
        <w:t xml:space="preserve"> (IDEA) through the Michigan Department of Education.</w:t>
      </w:r>
    </w:p>
    <w:sdt>
      <w:sdtPr>
        <w:rPr>
          <w:rFonts w:eastAsiaTheme="minorHAnsi" w:cstheme="minorBidi"/>
          <w:b w:val="0"/>
          <w:bCs w:val="0"/>
          <w:color w:val="auto"/>
          <w:sz w:val="24"/>
          <w:szCs w:val="22"/>
        </w:rPr>
        <w:id w:val="1793937651"/>
        <w:docPartObj>
          <w:docPartGallery w:val="Table of Contents"/>
          <w:docPartUnique/>
        </w:docPartObj>
      </w:sdtPr>
      <w:sdtEndPr>
        <w:rPr>
          <w:noProof/>
        </w:rPr>
      </w:sdtEndPr>
      <w:sdtContent>
        <w:p w:rsidR="006E0851" w:rsidRPr="002F56D8" w:rsidRDefault="006E0851">
          <w:pPr>
            <w:pStyle w:val="TOCHeading"/>
            <w:rPr>
              <w:rFonts w:cs="Arial"/>
            </w:rPr>
          </w:pPr>
          <w:r w:rsidRPr="002F56D8">
            <w:rPr>
              <w:rFonts w:cs="Arial"/>
            </w:rPr>
            <w:t>Table of Contents</w:t>
          </w:r>
        </w:p>
        <w:p w:rsidR="003874D5" w:rsidRDefault="006E0851">
          <w:pPr>
            <w:pStyle w:val="TOC1"/>
            <w:rPr>
              <w:rFonts w:asciiTheme="minorHAnsi" w:eastAsiaTheme="minorEastAsia" w:hAnsiTheme="minorHAnsi"/>
              <w:bCs w:val="0"/>
              <w:noProof/>
            </w:rPr>
          </w:pPr>
          <w:r w:rsidRPr="002F56D8">
            <w:rPr>
              <w:rFonts w:cs="Arial"/>
              <w:b/>
            </w:rPr>
            <w:fldChar w:fldCharType="begin"/>
          </w:r>
          <w:r w:rsidRPr="002F56D8">
            <w:rPr>
              <w:rFonts w:cs="Arial"/>
            </w:rPr>
            <w:instrText xml:space="preserve"> TOC \o "1-4" </w:instrText>
          </w:r>
          <w:r w:rsidRPr="002F56D8">
            <w:rPr>
              <w:rFonts w:cs="Arial"/>
              <w:b/>
            </w:rPr>
            <w:fldChar w:fldCharType="separate"/>
          </w:r>
          <w:r w:rsidR="003874D5">
            <w:rPr>
              <w:noProof/>
            </w:rPr>
            <w:t>MTSS Secondary Professional Learning Overview: Tier 1 Reading</w:t>
          </w:r>
          <w:r w:rsidR="003874D5">
            <w:rPr>
              <w:noProof/>
            </w:rPr>
            <w:tab/>
          </w:r>
          <w:r w:rsidR="003874D5">
            <w:rPr>
              <w:noProof/>
            </w:rPr>
            <w:fldChar w:fldCharType="begin"/>
          </w:r>
          <w:r w:rsidR="003874D5">
            <w:rPr>
              <w:noProof/>
            </w:rPr>
            <w:instrText xml:space="preserve"> PAGEREF _Toc1464138 \h </w:instrText>
          </w:r>
          <w:r w:rsidR="003874D5">
            <w:rPr>
              <w:noProof/>
            </w:rPr>
          </w:r>
          <w:r w:rsidR="003874D5">
            <w:rPr>
              <w:noProof/>
            </w:rPr>
            <w:fldChar w:fldCharType="separate"/>
          </w:r>
          <w:r w:rsidR="003874D5">
            <w:rPr>
              <w:noProof/>
            </w:rPr>
            <w:t>3</w:t>
          </w:r>
          <w:r w:rsidR="003874D5">
            <w:rPr>
              <w:noProof/>
            </w:rPr>
            <w:fldChar w:fldCharType="end"/>
          </w:r>
        </w:p>
        <w:p w:rsidR="003874D5" w:rsidRDefault="003874D5">
          <w:pPr>
            <w:pStyle w:val="TOC2"/>
            <w:rPr>
              <w:rFonts w:asciiTheme="minorHAnsi" w:eastAsiaTheme="minorEastAsia" w:hAnsiTheme="minorHAnsi"/>
              <w:bCs w:val="0"/>
              <w:noProof/>
              <w:szCs w:val="24"/>
            </w:rPr>
          </w:pPr>
          <w:r>
            <w:rPr>
              <w:noProof/>
            </w:rPr>
            <w:t>Tier 1 School-Wide Content Area Reading Series: 2 Days</w:t>
          </w:r>
          <w:r>
            <w:rPr>
              <w:noProof/>
            </w:rPr>
            <w:tab/>
          </w:r>
          <w:r>
            <w:rPr>
              <w:noProof/>
            </w:rPr>
            <w:fldChar w:fldCharType="begin"/>
          </w:r>
          <w:r>
            <w:rPr>
              <w:noProof/>
            </w:rPr>
            <w:instrText xml:space="preserve"> PAGEREF _Toc1464139 \h </w:instrText>
          </w:r>
          <w:r>
            <w:rPr>
              <w:noProof/>
            </w:rPr>
          </w:r>
          <w:r>
            <w:rPr>
              <w:noProof/>
            </w:rPr>
            <w:fldChar w:fldCharType="separate"/>
          </w:r>
          <w:r>
            <w:rPr>
              <w:noProof/>
            </w:rPr>
            <w:t>3</w:t>
          </w:r>
          <w:r>
            <w:rPr>
              <w:noProof/>
            </w:rPr>
            <w:fldChar w:fldCharType="end"/>
          </w:r>
        </w:p>
        <w:p w:rsidR="003874D5" w:rsidRDefault="003874D5">
          <w:pPr>
            <w:pStyle w:val="TOC4"/>
            <w:rPr>
              <w:rFonts w:asciiTheme="minorHAnsi" w:eastAsiaTheme="minorEastAsia" w:hAnsiTheme="minorHAnsi"/>
              <w:noProof/>
              <w:szCs w:val="24"/>
            </w:rPr>
          </w:pPr>
          <w:r>
            <w:rPr>
              <w:noProof/>
            </w:rPr>
            <w:t>Target Audience:</w:t>
          </w:r>
          <w:r>
            <w:rPr>
              <w:noProof/>
            </w:rPr>
            <w:tab/>
          </w:r>
          <w:r>
            <w:rPr>
              <w:noProof/>
            </w:rPr>
            <w:fldChar w:fldCharType="begin"/>
          </w:r>
          <w:r>
            <w:rPr>
              <w:noProof/>
            </w:rPr>
            <w:instrText xml:space="preserve"> PAGEREF _Toc1464140 \h </w:instrText>
          </w:r>
          <w:r>
            <w:rPr>
              <w:noProof/>
            </w:rPr>
          </w:r>
          <w:r>
            <w:rPr>
              <w:noProof/>
            </w:rPr>
            <w:fldChar w:fldCharType="separate"/>
          </w:r>
          <w:r>
            <w:rPr>
              <w:noProof/>
            </w:rPr>
            <w:t>3</w:t>
          </w:r>
          <w:r>
            <w:rPr>
              <w:noProof/>
            </w:rPr>
            <w:fldChar w:fldCharType="end"/>
          </w:r>
        </w:p>
        <w:p w:rsidR="003874D5" w:rsidRDefault="003874D5">
          <w:pPr>
            <w:pStyle w:val="TOC4"/>
            <w:rPr>
              <w:rFonts w:asciiTheme="minorHAnsi" w:eastAsiaTheme="minorEastAsia" w:hAnsiTheme="minorHAnsi"/>
              <w:noProof/>
              <w:szCs w:val="24"/>
            </w:rPr>
          </w:pPr>
          <w:r>
            <w:rPr>
              <w:noProof/>
            </w:rPr>
            <w:t>Topics:</w:t>
          </w:r>
          <w:r>
            <w:rPr>
              <w:noProof/>
            </w:rPr>
            <w:tab/>
          </w:r>
          <w:r>
            <w:rPr>
              <w:noProof/>
            </w:rPr>
            <w:fldChar w:fldCharType="begin"/>
          </w:r>
          <w:r>
            <w:rPr>
              <w:noProof/>
            </w:rPr>
            <w:instrText xml:space="preserve"> PAGEREF _Toc1464141 \h </w:instrText>
          </w:r>
          <w:r>
            <w:rPr>
              <w:noProof/>
            </w:rPr>
          </w:r>
          <w:r>
            <w:rPr>
              <w:noProof/>
            </w:rPr>
            <w:fldChar w:fldCharType="separate"/>
          </w:r>
          <w:r>
            <w:rPr>
              <w:noProof/>
            </w:rPr>
            <w:t>3</w:t>
          </w:r>
          <w:r>
            <w:rPr>
              <w:noProof/>
            </w:rPr>
            <w:fldChar w:fldCharType="end"/>
          </w:r>
        </w:p>
        <w:p w:rsidR="003874D5" w:rsidRDefault="003874D5">
          <w:pPr>
            <w:pStyle w:val="TOC4"/>
            <w:rPr>
              <w:rFonts w:asciiTheme="minorHAnsi" w:eastAsiaTheme="minorEastAsia" w:hAnsiTheme="minorHAnsi"/>
              <w:noProof/>
              <w:szCs w:val="24"/>
            </w:rPr>
          </w:pPr>
          <w:r>
            <w:rPr>
              <w:noProof/>
            </w:rPr>
            <w:t>Products Developed During the Series:</w:t>
          </w:r>
          <w:r>
            <w:rPr>
              <w:noProof/>
            </w:rPr>
            <w:tab/>
          </w:r>
          <w:r>
            <w:rPr>
              <w:noProof/>
            </w:rPr>
            <w:fldChar w:fldCharType="begin"/>
          </w:r>
          <w:r>
            <w:rPr>
              <w:noProof/>
            </w:rPr>
            <w:instrText xml:space="preserve"> PAGEREF _Toc1464142 \h </w:instrText>
          </w:r>
          <w:r>
            <w:rPr>
              <w:noProof/>
            </w:rPr>
          </w:r>
          <w:r>
            <w:rPr>
              <w:noProof/>
            </w:rPr>
            <w:fldChar w:fldCharType="separate"/>
          </w:r>
          <w:r>
            <w:rPr>
              <w:noProof/>
            </w:rPr>
            <w:t>4</w:t>
          </w:r>
          <w:r>
            <w:rPr>
              <w:noProof/>
            </w:rPr>
            <w:fldChar w:fldCharType="end"/>
          </w:r>
        </w:p>
        <w:p w:rsidR="003874D5" w:rsidRDefault="003874D5">
          <w:pPr>
            <w:pStyle w:val="TOC2"/>
            <w:rPr>
              <w:rFonts w:asciiTheme="minorHAnsi" w:eastAsiaTheme="minorEastAsia" w:hAnsiTheme="minorHAnsi"/>
              <w:bCs w:val="0"/>
              <w:noProof/>
              <w:szCs w:val="24"/>
            </w:rPr>
          </w:pPr>
          <w:r>
            <w:rPr>
              <w:noProof/>
            </w:rPr>
            <w:t>Tier 1 Secondary Content Area Reading Strategy Instruction: 3 Days</w:t>
          </w:r>
          <w:r>
            <w:rPr>
              <w:noProof/>
            </w:rPr>
            <w:tab/>
          </w:r>
          <w:r>
            <w:rPr>
              <w:noProof/>
            </w:rPr>
            <w:fldChar w:fldCharType="begin"/>
          </w:r>
          <w:r>
            <w:rPr>
              <w:noProof/>
            </w:rPr>
            <w:instrText xml:space="preserve"> PAGEREF _Toc1464143 \h </w:instrText>
          </w:r>
          <w:r>
            <w:rPr>
              <w:noProof/>
            </w:rPr>
          </w:r>
          <w:r>
            <w:rPr>
              <w:noProof/>
            </w:rPr>
            <w:fldChar w:fldCharType="separate"/>
          </w:r>
          <w:r>
            <w:rPr>
              <w:noProof/>
            </w:rPr>
            <w:t>4</w:t>
          </w:r>
          <w:r>
            <w:rPr>
              <w:noProof/>
            </w:rPr>
            <w:fldChar w:fldCharType="end"/>
          </w:r>
        </w:p>
        <w:p w:rsidR="003874D5" w:rsidRDefault="003874D5">
          <w:pPr>
            <w:pStyle w:val="TOC3"/>
            <w:rPr>
              <w:rFonts w:asciiTheme="minorHAnsi" w:eastAsiaTheme="minorEastAsia" w:hAnsiTheme="minorHAnsi"/>
              <w:noProof/>
              <w:szCs w:val="24"/>
            </w:rPr>
          </w:pPr>
          <w:r>
            <w:rPr>
              <w:noProof/>
            </w:rPr>
            <w:t>Strategies 1 and 2: Survey, Question, Read, Respond, Review (SQ3R) with Passage Reading Procedures</w:t>
          </w:r>
          <w:r>
            <w:rPr>
              <w:noProof/>
            </w:rPr>
            <w:tab/>
          </w:r>
          <w:r>
            <w:rPr>
              <w:noProof/>
            </w:rPr>
            <w:fldChar w:fldCharType="begin"/>
          </w:r>
          <w:r>
            <w:rPr>
              <w:noProof/>
            </w:rPr>
            <w:instrText xml:space="preserve"> PAGEREF _Toc1464144 \h </w:instrText>
          </w:r>
          <w:r>
            <w:rPr>
              <w:noProof/>
            </w:rPr>
          </w:r>
          <w:r>
            <w:rPr>
              <w:noProof/>
            </w:rPr>
            <w:fldChar w:fldCharType="separate"/>
          </w:r>
          <w:r>
            <w:rPr>
              <w:noProof/>
            </w:rPr>
            <w:t>4</w:t>
          </w:r>
          <w:r>
            <w:rPr>
              <w:noProof/>
            </w:rPr>
            <w:fldChar w:fldCharType="end"/>
          </w:r>
        </w:p>
        <w:p w:rsidR="003874D5" w:rsidRDefault="003874D5">
          <w:pPr>
            <w:pStyle w:val="TOC4"/>
            <w:rPr>
              <w:rFonts w:asciiTheme="minorHAnsi" w:eastAsiaTheme="minorEastAsia" w:hAnsiTheme="minorHAnsi"/>
              <w:noProof/>
              <w:szCs w:val="24"/>
            </w:rPr>
          </w:pPr>
          <w:r>
            <w:rPr>
              <w:noProof/>
            </w:rPr>
            <w:t>Target Audience:</w:t>
          </w:r>
          <w:r>
            <w:rPr>
              <w:noProof/>
            </w:rPr>
            <w:tab/>
          </w:r>
          <w:r>
            <w:rPr>
              <w:noProof/>
            </w:rPr>
            <w:fldChar w:fldCharType="begin"/>
          </w:r>
          <w:r>
            <w:rPr>
              <w:noProof/>
            </w:rPr>
            <w:instrText xml:space="preserve"> PAGEREF _Toc1464145 \h </w:instrText>
          </w:r>
          <w:r>
            <w:rPr>
              <w:noProof/>
            </w:rPr>
          </w:r>
          <w:r>
            <w:rPr>
              <w:noProof/>
            </w:rPr>
            <w:fldChar w:fldCharType="separate"/>
          </w:r>
          <w:r>
            <w:rPr>
              <w:noProof/>
            </w:rPr>
            <w:t>4</w:t>
          </w:r>
          <w:r>
            <w:rPr>
              <w:noProof/>
            </w:rPr>
            <w:fldChar w:fldCharType="end"/>
          </w:r>
        </w:p>
        <w:p w:rsidR="003874D5" w:rsidRDefault="003874D5">
          <w:pPr>
            <w:pStyle w:val="TOC4"/>
            <w:rPr>
              <w:rFonts w:asciiTheme="minorHAnsi" w:eastAsiaTheme="minorEastAsia" w:hAnsiTheme="minorHAnsi"/>
              <w:noProof/>
              <w:szCs w:val="24"/>
            </w:rPr>
          </w:pPr>
          <w:r>
            <w:rPr>
              <w:noProof/>
            </w:rPr>
            <w:t>Topics:</w:t>
          </w:r>
          <w:r>
            <w:rPr>
              <w:noProof/>
            </w:rPr>
            <w:tab/>
          </w:r>
          <w:r>
            <w:rPr>
              <w:noProof/>
            </w:rPr>
            <w:fldChar w:fldCharType="begin"/>
          </w:r>
          <w:r>
            <w:rPr>
              <w:noProof/>
            </w:rPr>
            <w:instrText xml:space="preserve"> PAGEREF _Toc1464146 \h </w:instrText>
          </w:r>
          <w:r>
            <w:rPr>
              <w:noProof/>
            </w:rPr>
          </w:r>
          <w:r>
            <w:rPr>
              <w:noProof/>
            </w:rPr>
            <w:fldChar w:fldCharType="separate"/>
          </w:r>
          <w:r>
            <w:rPr>
              <w:noProof/>
            </w:rPr>
            <w:t>4</w:t>
          </w:r>
          <w:r>
            <w:rPr>
              <w:noProof/>
            </w:rPr>
            <w:fldChar w:fldCharType="end"/>
          </w:r>
        </w:p>
        <w:p w:rsidR="003874D5" w:rsidRDefault="003874D5">
          <w:pPr>
            <w:pStyle w:val="TOC4"/>
            <w:rPr>
              <w:rFonts w:asciiTheme="minorHAnsi" w:eastAsiaTheme="minorEastAsia" w:hAnsiTheme="minorHAnsi"/>
              <w:noProof/>
              <w:szCs w:val="24"/>
            </w:rPr>
          </w:pPr>
          <w:r>
            <w:rPr>
              <w:noProof/>
            </w:rPr>
            <w:t>Products</w:t>
          </w:r>
          <w:r>
            <w:rPr>
              <w:noProof/>
            </w:rPr>
            <w:tab/>
          </w:r>
          <w:r>
            <w:rPr>
              <w:noProof/>
            </w:rPr>
            <w:fldChar w:fldCharType="begin"/>
          </w:r>
          <w:r>
            <w:rPr>
              <w:noProof/>
            </w:rPr>
            <w:instrText xml:space="preserve"> PAGEREF _Toc1464147 \h </w:instrText>
          </w:r>
          <w:r>
            <w:rPr>
              <w:noProof/>
            </w:rPr>
          </w:r>
          <w:r>
            <w:rPr>
              <w:noProof/>
            </w:rPr>
            <w:fldChar w:fldCharType="separate"/>
          </w:r>
          <w:r>
            <w:rPr>
              <w:noProof/>
            </w:rPr>
            <w:t>5</w:t>
          </w:r>
          <w:r>
            <w:rPr>
              <w:noProof/>
            </w:rPr>
            <w:fldChar w:fldCharType="end"/>
          </w:r>
        </w:p>
        <w:p w:rsidR="003874D5" w:rsidRDefault="003874D5">
          <w:pPr>
            <w:pStyle w:val="TOC3"/>
            <w:rPr>
              <w:rFonts w:asciiTheme="minorHAnsi" w:eastAsiaTheme="minorEastAsia" w:hAnsiTheme="minorHAnsi"/>
              <w:noProof/>
              <w:szCs w:val="24"/>
            </w:rPr>
          </w:pPr>
          <w:r>
            <w:rPr>
              <w:noProof/>
            </w:rPr>
            <w:t>Strategy 3: Text Summarization using Writing Frames</w:t>
          </w:r>
          <w:r>
            <w:rPr>
              <w:noProof/>
            </w:rPr>
            <w:tab/>
          </w:r>
          <w:r>
            <w:rPr>
              <w:noProof/>
            </w:rPr>
            <w:fldChar w:fldCharType="begin"/>
          </w:r>
          <w:r>
            <w:rPr>
              <w:noProof/>
            </w:rPr>
            <w:instrText xml:space="preserve"> PAGEREF _Toc1464148 \h </w:instrText>
          </w:r>
          <w:r>
            <w:rPr>
              <w:noProof/>
            </w:rPr>
          </w:r>
          <w:r>
            <w:rPr>
              <w:noProof/>
            </w:rPr>
            <w:fldChar w:fldCharType="separate"/>
          </w:r>
          <w:r>
            <w:rPr>
              <w:noProof/>
            </w:rPr>
            <w:t>5</w:t>
          </w:r>
          <w:r>
            <w:rPr>
              <w:noProof/>
            </w:rPr>
            <w:fldChar w:fldCharType="end"/>
          </w:r>
        </w:p>
        <w:p w:rsidR="003874D5" w:rsidRDefault="003874D5">
          <w:pPr>
            <w:pStyle w:val="TOC4"/>
            <w:rPr>
              <w:rFonts w:asciiTheme="minorHAnsi" w:eastAsiaTheme="minorEastAsia" w:hAnsiTheme="minorHAnsi"/>
              <w:noProof/>
              <w:szCs w:val="24"/>
            </w:rPr>
          </w:pPr>
          <w:r>
            <w:rPr>
              <w:noProof/>
            </w:rPr>
            <w:t>Target Audience:</w:t>
          </w:r>
          <w:r>
            <w:rPr>
              <w:noProof/>
            </w:rPr>
            <w:tab/>
          </w:r>
          <w:r>
            <w:rPr>
              <w:noProof/>
            </w:rPr>
            <w:fldChar w:fldCharType="begin"/>
          </w:r>
          <w:r>
            <w:rPr>
              <w:noProof/>
            </w:rPr>
            <w:instrText xml:space="preserve"> PAGEREF _Toc1464149 \h </w:instrText>
          </w:r>
          <w:r>
            <w:rPr>
              <w:noProof/>
            </w:rPr>
          </w:r>
          <w:r>
            <w:rPr>
              <w:noProof/>
            </w:rPr>
            <w:fldChar w:fldCharType="separate"/>
          </w:r>
          <w:r>
            <w:rPr>
              <w:noProof/>
            </w:rPr>
            <w:t>5</w:t>
          </w:r>
          <w:r>
            <w:rPr>
              <w:noProof/>
            </w:rPr>
            <w:fldChar w:fldCharType="end"/>
          </w:r>
        </w:p>
        <w:p w:rsidR="003874D5" w:rsidRDefault="003874D5">
          <w:pPr>
            <w:pStyle w:val="TOC4"/>
            <w:rPr>
              <w:rFonts w:asciiTheme="minorHAnsi" w:eastAsiaTheme="minorEastAsia" w:hAnsiTheme="minorHAnsi"/>
              <w:noProof/>
              <w:szCs w:val="24"/>
            </w:rPr>
          </w:pPr>
          <w:r>
            <w:rPr>
              <w:noProof/>
            </w:rPr>
            <w:t>Topics:</w:t>
          </w:r>
          <w:r>
            <w:rPr>
              <w:noProof/>
            </w:rPr>
            <w:tab/>
          </w:r>
          <w:r>
            <w:rPr>
              <w:noProof/>
            </w:rPr>
            <w:fldChar w:fldCharType="begin"/>
          </w:r>
          <w:r>
            <w:rPr>
              <w:noProof/>
            </w:rPr>
            <w:instrText xml:space="preserve"> PAGEREF _Toc1464150 \h </w:instrText>
          </w:r>
          <w:r>
            <w:rPr>
              <w:noProof/>
            </w:rPr>
          </w:r>
          <w:r>
            <w:rPr>
              <w:noProof/>
            </w:rPr>
            <w:fldChar w:fldCharType="separate"/>
          </w:r>
          <w:r>
            <w:rPr>
              <w:noProof/>
            </w:rPr>
            <w:t>5</w:t>
          </w:r>
          <w:r>
            <w:rPr>
              <w:noProof/>
            </w:rPr>
            <w:fldChar w:fldCharType="end"/>
          </w:r>
        </w:p>
        <w:p w:rsidR="003874D5" w:rsidRDefault="003874D5">
          <w:pPr>
            <w:pStyle w:val="TOC4"/>
            <w:rPr>
              <w:rFonts w:asciiTheme="minorHAnsi" w:eastAsiaTheme="minorEastAsia" w:hAnsiTheme="minorHAnsi"/>
              <w:noProof/>
              <w:szCs w:val="24"/>
            </w:rPr>
          </w:pPr>
          <w:r>
            <w:rPr>
              <w:noProof/>
            </w:rPr>
            <w:t>Products</w:t>
          </w:r>
          <w:r>
            <w:rPr>
              <w:noProof/>
            </w:rPr>
            <w:tab/>
          </w:r>
          <w:r>
            <w:rPr>
              <w:noProof/>
            </w:rPr>
            <w:fldChar w:fldCharType="begin"/>
          </w:r>
          <w:r>
            <w:rPr>
              <w:noProof/>
            </w:rPr>
            <w:instrText xml:space="preserve"> PAGEREF _Toc1464151 \h </w:instrText>
          </w:r>
          <w:r>
            <w:rPr>
              <w:noProof/>
            </w:rPr>
          </w:r>
          <w:r>
            <w:rPr>
              <w:noProof/>
            </w:rPr>
            <w:fldChar w:fldCharType="separate"/>
          </w:r>
          <w:r>
            <w:rPr>
              <w:noProof/>
            </w:rPr>
            <w:t>6</w:t>
          </w:r>
          <w:r>
            <w:rPr>
              <w:noProof/>
            </w:rPr>
            <w:fldChar w:fldCharType="end"/>
          </w:r>
        </w:p>
        <w:p w:rsidR="003874D5" w:rsidRDefault="003874D5">
          <w:pPr>
            <w:pStyle w:val="TOC3"/>
            <w:rPr>
              <w:rFonts w:asciiTheme="minorHAnsi" w:eastAsiaTheme="minorEastAsia" w:hAnsiTheme="minorHAnsi"/>
              <w:noProof/>
              <w:szCs w:val="24"/>
            </w:rPr>
          </w:pPr>
          <w:r>
            <w:rPr>
              <w:noProof/>
            </w:rPr>
            <w:t>Strategy 4: Vocabulary Instruction</w:t>
          </w:r>
          <w:r>
            <w:rPr>
              <w:noProof/>
            </w:rPr>
            <w:tab/>
          </w:r>
          <w:r>
            <w:rPr>
              <w:noProof/>
            </w:rPr>
            <w:fldChar w:fldCharType="begin"/>
          </w:r>
          <w:r>
            <w:rPr>
              <w:noProof/>
            </w:rPr>
            <w:instrText xml:space="preserve"> PAGEREF _Toc1464152 \h </w:instrText>
          </w:r>
          <w:r>
            <w:rPr>
              <w:noProof/>
            </w:rPr>
          </w:r>
          <w:r>
            <w:rPr>
              <w:noProof/>
            </w:rPr>
            <w:fldChar w:fldCharType="separate"/>
          </w:r>
          <w:r>
            <w:rPr>
              <w:noProof/>
            </w:rPr>
            <w:t>6</w:t>
          </w:r>
          <w:r>
            <w:rPr>
              <w:noProof/>
            </w:rPr>
            <w:fldChar w:fldCharType="end"/>
          </w:r>
        </w:p>
        <w:p w:rsidR="003874D5" w:rsidRDefault="003874D5">
          <w:pPr>
            <w:pStyle w:val="TOC4"/>
            <w:rPr>
              <w:rFonts w:asciiTheme="minorHAnsi" w:eastAsiaTheme="minorEastAsia" w:hAnsiTheme="minorHAnsi"/>
              <w:noProof/>
              <w:szCs w:val="24"/>
            </w:rPr>
          </w:pPr>
          <w:r>
            <w:rPr>
              <w:noProof/>
            </w:rPr>
            <w:t>Target Audience</w:t>
          </w:r>
          <w:r>
            <w:rPr>
              <w:noProof/>
            </w:rPr>
            <w:tab/>
          </w:r>
          <w:r>
            <w:rPr>
              <w:noProof/>
            </w:rPr>
            <w:fldChar w:fldCharType="begin"/>
          </w:r>
          <w:r>
            <w:rPr>
              <w:noProof/>
            </w:rPr>
            <w:instrText xml:space="preserve"> PAGEREF _Toc1464153 \h </w:instrText>
          </w:r>
          <w:r>
            <w:rPr>
              <w:noProof/>
            </w:rPr>
          </w:r>
          <w:r>
            <w:rPr>
              <w:noProof/>
            </w:rPr>
            <w:fldChar w:fldCharType="separate"/>
          </w:r>
          <w:r>
            <w:rPr>
              <w:noProof/>
            </w:rPr>
            <w:t>6</w:t>
          </w:r>
          <w:r>
            <w:rPr>
              <w:noProof/>
            </w:rPr>
            <w:fldChar w:fldCharType="end"/>
          </w:r>
        </w:p>
        <w:p w:rsidR="003874D5" w:rsidRDefault="003874D5">
          <w:pPr>
            <w:pStyle w:val="TOC4"/>
            <w:rPr>
              <w:rFonts w:asciiTheme="minorHAnsi" w:eastAsiaTheme="minorEastAsia" w:hAnsiTheme="minorHAnsi"/>
              <w:noProof/>
              <w:szCs w:val="24"/>
            </w:rPr>
          </w:pPr>
          <w:r>
            <w:rPr>
              <w:noProof/>
            </w:rPr>
            <w:t>Topics</w:t>
          </w:r>
          <w:r>
            <w:rPr>
              <w:noProof/>
            </w:rPr>
            <w:tab/>
          </w:r>
          <w:r>
            <w:rPr>
              <w:noProof/>
            </w:rPr>
            <w:fldChar w:fldCharType="begin"/>
          </w:r>
          <w:r>
            <w:rPr>
              <w:noProof/>
            </w:rPr>
            <w:instrText xml:space="preserve"> PAGEREF _Toc1464154 \h </w:instrText>
          </w:r>
          <w:r>
            <w:rPr>
              <w:noProof/>
            </w:rPr>
          </w:r>
          <w:r>
            <w:rPr>
              <w:noProof/>
            </w:rPr>
            <w:fldChar w:fldCharType="separate"/>
          </w:r>
          <w:r>
            <w:rPr>
              <w:noProof/>
            </w:rPr>
            <w:t>6</w:t>
          </w:r>
          <w:r>
            <w:rPr>
              <w:noProof/>
            </w:rPr>
            <w:fldChar w:fldCharType="end"/>
          </w:r>
        </w:p>
        <w:p w:rsidR="003874D5" w:rsidRDefault="003874D5">
          <w:pPr>
            <w:pStyle w:val="TOC4"/>
            <w:rPr>
              <w:rFonts w:asciiTheme="minorHAnsi" w:eastAsiaTheme="minorEastAsia" w:hAnsiTheme="minorHAnsi"/>
              <w:noProof/>
              <w:szCs w:val="24"/>
            </w:rPr>
          </w:pPr>
          <w:r>
            <w:rPr>
              <w:noProof/>
            </w:rPr>
            <w:t>Products</w:t>
          </w:r>
          <w:r>
            <w:rPr>
              <w:noProof/>
            </w:rPr>
            <w:tab/>
          </w:r>
          <w:r>
            <w:rPr>
              <w:noProof/>
            </w:rPr>
            <w:fldChar w:fldCharType="begin"/>
          </w:r>
          <w:r>
            <w:rPr>
              <w:noProof/>
            </w:rPr>
            <w:instrText xml:space="preserve"> PAGEREF _Toc1464155 \h </w:instrText>
          </w:r>
          <w:r>
            <w:rPr>
              <w:noProof/>
            </w:rPr>
          </w:r>
          <w:r>
            <w:rPr>
              <w:noProof/>
            </w:rPr>
            <w:fldChar w:fldCharType="separate"/>
          </w:r>
          <w:r>
            <w:rPr>
              <w:noProof/>
            </w:rPr>
            <w:t>7</w:t>
          </w:r>
          <w:r>
            <w:rPr>
              <w:noProof/>
            </w:rPr>
            <w:fldChar w:fldCharType="end"/>
          </w:r>
        </w:p>
        <w:p w:rsidR="006E0851" w:rsidRDefault="006E0851">
          <w:r w:rsidRPr="002F56D8">
            <w:rPr>
              <w:rFonts w:cs="Arial"/>
              <w:sz w:val="22"/>
            </w:rPr>
            <w:fldChar w:fldCharType="end"/>
          </w:r>
        </w:p>
      </w:sdtContent>
    </w:sdt>
    <w:p w:rsidR="00F918B2" w:rsidRDefault="00F918B2">
      <w:pPr>
        <w:spacing w:after="0" w:line="240" w:lineRule="auto"/>
        <w:rPr>
          <w:rFonts w:eastAsiaTheme="majorEastAsia" w:cstheme="majorBidi"/>
          <w:b/>
          <w:bCs/>
          <w:color w:val="000000" w:themeColor="text1"/>
          <w:sz w:val="36"/>
          <w:szCs w:val="32"/>
        </w:rPr>
      </w:pPr>
      <w:r>
        <w:br w:type="page"/>
      </w:r>
    </w:p>
    <w:p w:rsidR="004C5582" w:rsidRDefault="004C5582" w:rsidP="004C5582">
      <w:pPr>
        <w:pStyle w:val="Heading1"/>
      </w:pPr>
      <w:bookmarkStart w:id="0" w:name="_Toc1464138"/>
      <w:r>
        <w:t xml:space="preserve">MTSS </w:t>
      </w:r>
      <w:r w:rsidR="00104034">
        <w:t xml:space="preserve">Secondary </w:t>
      </w:r>
      <w:r>
        <w:t>Professional Learning Overview: Tier 1 Reading</w:t>
      </w:r>
      <w:bookmarkEnd w:id="0"/>
    </w:p>
    <w:p w:rsidR="00B56BCF" w:rsidRDefault="00B56BCF" w:rsidP="00FA3C4E">
      <w:pPr>
        <w:pStyle w:val="Heading2"/>
      </w:pPr>
      <w:bookmarkStart w:id="1" w:name="_Toc1464139"/>
      <w:r>
        <w:t>Tier 1 School-Wide Content Area Reading Series: 2 Days</w:t>
      </w:r>
      <w:bookmarkEnd w:id="1"/>
    </w:p>
    <w:p w:rsidR="00B56BCF" w:rsidRDefault="00B56BCF" w:rsidP="00B56BCF">
      <w:pPr>
        <w:pStyle w:val="Heading4"/>
      </w:pPr>
      <w:bookmarkStart w:id="2" w:name="_Toc1464140"/>
      <w:r>
        <w:t>Target Audience:</w:t>
      </w:r>
      <w:bookmarkEnd w:id="2"/>
    </w:p>
    <w:p w:rsidR="00B56BCF" w:rsidRDefault="00B56BCF" w:rsidP="00B56BCF">
      <w:r>
        <w:t>Secondary School Leadership Team composed of 5-7 members, including the principal and identified school-level coach. The team should be a representative of the school staff (e.g., secondary content area teachers, special education teachers, couns</w:t>
      </w:r>
      <w:r w:rsidR="002B4657">
        <w:t>elor)</w:t>
      </w:r>
    </w:p>
    <w:p w:rsidR="000A3667" w:rsidRDefault="00B56BCF" w:rsidP="00B56BCF">
      <w:pPr>
        <w:pStyle w:val="Heading4"/>
      </w:pPr>
      <w:bookmarkStart w:id="3" w:name="_Toc1464141"/>
      <w:r>
        <w:t>Topics:</w:t>
      </w:r>
      <w:bookmarkEnd w:id="3"/>
      <w:r>
        <w:t xml:space="preserve"> </w:t>
      </w:r>
    </w:p>
    <w:p w:rsidR="00B56BCF" w:rsidRDefault="00764E56" w:rsidP="00B56BCF">
      <w:pPr>
        <w:pStyle w:val="ListParagraph"/>
        <w:numPr>
          <w:ilvl w:val="0"/>
          <w:numId w:val="28"/>
        </w:numPr>
      </w:pPr>
      <w:r>
        <w:t>Define</w:t>
      </w:r>
      <w:r w:rsidR="00B56BCF">
        <w:t xml:space="preserve"> the reading components of an integrated behavior and reading MTSS model: School-wide Content Area Reading Model</w:t>
      </w:r>
    </w:p>
    <w:p w:rsidR="009D2F11" w:rsidRDefault="009D2F11" w:rsidP="009D2F11">
      <w:pPr>
        <w:pStyle w:val="ListParagraph"/>
        <w:numPr>
          <w:ilvl w:val="0"/>
          <w:numId w:val="28"/>
        </w:numPr>
      </w:pPr>
      <w:r>
        <w:t>Provide an overview of the five-content area reading strategies that MIBLSI will provide professional learning to secondary staff to use. Staff will leave the sessions with procedures for: (1) previewing the chapter / article; (2) alternate methods for passage reading; (3) student generated questions; (4) writing to improve comprehension of text; (5) explicit vocabulary instruction</w:t>
      </w:r>
    </w:p>
    <w:p w:rsidR="009D2F11" w:rsidRDefault="009D2F11" w:rsidP="009D2F11">
      <w:pPr>
        <w:pStyle w:val="ListParagraph"/>
        <w:numPr>
          <w:ilvl w:val="0"/>
          <w:numId w:val="28"/>
        </w:numPr>
      </w:pPr>
      <w:r>
        <w:t>Discuss how t</w:t>
      </w:r>
      <w:r w:rsidRPr="00C1231B">
        <w:t>he first four content area reading strat</w:t>
      </w:r>
      <w:r>
        <w:t>egies are a part of a well-documented, evidence-based</w:t>
      </w:r>
      <w:r w:rsidRPr="00C1231B">
        <w:t xml:space="preserve"> comprehension strategy titled: Survey, Question, Read, Recite, and Review (SQ3R)</w:t>
      </w:r>
    </w:p>
    <w:p w:rsidR="009D2F11" w:rsidRDefault="009D2F11" w:rsidP="009D2F11">
      <w:pPr>
        <w:pStyle w:val="ListParagraph"/>
        <w:numPr>
          <w:ilvl w:val="0"/>
          <w:numId w:val="28"/>
        </w:numPr>
      </w:pPr>
      <w:r>
        <w:t>Discuss how teachers attending the upcoming professional learning session in SQ3R are going to work with their school leadership team and their colleagues to expand the use of the strategy across the science and social studies departments</w:t>
      </w:r>
    </w:p>
    <w:p w:rsidR="00617BCE" w:rsidRDefault="00617BCE" w:rsidP="009D2F11">
      <w:pPr>
        <w:pStyle w:val="ListParagraph"/>
        <w:numPr>
          <w:ilvl w:val="0"/>
          <w:numId w:val="28"/>
        </w:numPr>
      </w:pPr>
      <w:r>
        <w:t xml:space="preserve">Provide an overview of </w:t>
      </w:r>
      <w:r w:rsidR="002178A2">
        <w:t xml:space="preserve">the two additional MIBLSI-supported content area reading strategy sessions: (1) writing to improve comprehension; (2) explicit vocabulary instruction and outline recommended timelines for when the school should plan to add the teaching and use of the strategies to their implementation plan </w:t>
      </w:r>
    </w:p>
    <w:p w:rsidR="00B56BCF" w:rsidRDefault="00B56BCF" w:rsidP="00B56BCF">
      <w:pPr>
        <w:pStyle w:val="ListParagraph"/>
        <w:numPr>
          <w:ilvl w:val="0"/>
          <w:numId w:val="28"/>
        </w:numPr>
      </w:pPr>
      <w:r>
        <w:t>Outline strategies to assess and promote staff buy-in and readiness for using common strategies across content areas to improve text comprehension</w:t>
      </w:r>
    </w:p>
    <w:p w:rsidR="00B56BCF" w:rsidRDefault="00B56BCF" w:rsidP="00B56BCF">
      <w:pPr>
        <w:pStyle w:val="ListParagraph"/>
        <w:numPr>
          <w:ilvl w:val="0"/>
          <w:numId w:val="28"/>
        </w:numPr>
      </w:pPr>
      <w:r>
        <w:t xml:space="preserve">Learn to use the </w:t>
      </w:r>
      <w:r w:rsidR="009D2F11">
        <w:t>SQ3R strategy</w:t>
      </w:r>
      <w:r>
        <w:t xml:space="preserve"> </w:t>
      </w:r>
      <w:r w:rsidR="00A57CA7">
        <w:t>to</w:t>
      </w:r>
      <w:r>
        <w:t xml:space="preserve"> be</w:t>
      </w:r>
      <w:r w:rsidR="009D2F11">
        <w:t xml:space="preserve">tter understand how to support its </w:t>
      </w:r>
      <w:r>
        <w:t>successful use across science and social studies content areas</w:t>
      </w:r>
    </w:p>
    <w:p w:rsidR="00B56BCF" w:rsidRDefault="00764E56" w:rsidP="00B56BCF">
      <w:pPr>
        <w:pStyle w:val="ListParagraph"/>
        <w:numPr>
          <w:ilvl w:val="0"/>
          <w:numId w:val="28"/>
        </w:numPr>
      </w:pPr>
      <w:r>
        <w:t>Expand</w:t>
      </w:r>
      <w:r w:rsidR="00B56BCF">
        <w:t xml:space="preserve"> the school-level MTSS Implementation Plan to include the installation and implementation of a School-wide Content Area Reading Model including:</w:t>
      </w:r>
    </w:p>
    <w:p w:rsidR="00B56BCF" w:rsidRDefault="00B56BCF" w:rsidP="00B56BCF">
      <w:pPr>
        <w:pStyle w:val="ListParagraph"/>
        <w:numPr>
          <w:ilvl w:val="1"/>
          <w:numId w:val="28"/>
        </w:numPr>
      </w:pPr>
      <w:r>
        <w:t>When and how additional teachers will receive professional learning in the common Content Area Reading strategies</w:t>
      </w:r>
    </w:p>
    <w:p w:rsidR="00B56BCF" w:rsidRDefault="00B56BCF" w:rsidP="00B56BCF">
      <w:pPr>
        <w:pStyle w:val="ListParagraph"/>
        <w:numPr>
          <w:ilvl w:val="1"/>
          <w:numId w:val="28"/>
        </w:numPr>
      </w:pPr>
      <w:r>
        <w:t>Strategies to provide teachers with time to develop the resources necessary to embed the strategies into the curriculum resource materials and to support each other in their use of the strategies</w:t>
      </w:r>
    </w:p>
    <w:p w:rsidR="00B56BCF" w:rsidRDefault="00B56BCF" w:rsidP="00B56BCF">
      <w:pPr>
        <w:pStyle w:val="ListParagraph"/>
        <w:numPr>
          <w:ilvl w:val="1"/>
          <w:numId w:val="28"/>
        </w:numPr>
      </w:pPr>
      <w:r>
        <w:t xml:space="preserve">Mechanisms to maintain or increase staff momentum to sustain focus </w:t>
      </w:r>
    </w:p>
    <w:p w:rsidR="00B56BCF" w:rsidRDefault="00B56BCF" w:rsidP="00B56BCF">
      <w:pPr>
        <w:pStyle w:val="Heading4"/>
      </w:pPr>
      <w:bookmarkStart w:id="4" w:name="_Toc1464142"/>
      <w:r>
        <w:t>Products Developed During the Series:</w:t>
      </w:r>
      <w:bookmarkEnd w:id="4"/>
      <w:r>
        <w:t xml:space="preserve"> </w:t>
      </w:r>
    </w:p>
    <w:p w:rsidR="00B56BCF" w:rsidRDefault="00B56BCF" w:rsidP="00B56BCF">
      <w:pPr>
        <w:pStyle w:val="ListParagraph"/>
        <w:numPr>
          <w:ilvl w:val="0"/>
          <w:numId w:val="30"/>
        </w:numPr>
      </w:pPr>
      <w:r>
        <w:t>PowerPoint presentations to share with school staff that includes the following:</w:t>
      </w:r>
    </w:p>
    <w:p w:rsidR="00B56BCF" w:rsidRDefault="00B56BCF" w:rsidP="00B56BCF">
      <w:pPr>
        <w:pStyle w:val="ListParagraph"/>
        <w:numPr>
          <w:ilvl w:val="1"/>
          <w:numId w:val="30"/>
        </w:numPr>
      </w:pPr>
      <w:r>
        <w:t>Defining the reading components of an integrated behavior and reading MTSS model</w:t>
      </w:r>
    </w:p>
    <w:p w:rsidR="00B56BCF" w:rsidRDefault="005D0E6E" w:rsidP="00B56BCF">
      <w:pPr>
        <w:pStyle w:val="ListParagraph"/>
        <w:numPr>
          <w:ilvl w:val="1"/>
          <w:numId w:val="30"/>
        </w:numPr>
      </w:pPr>
      <w:r>
        <w:t>Visual display for the Big Ideas of Adolescent R</w:t>
      </w:r>
      <w:r w:rsidR="00B56BCF">
        <w:t>eading</w:t>
      </w:r>
    </w:p>
    <w:p w:rsidR="00B56BCF" w:rsidRDefault="005D0E6E" w:rsidP="00B56BCF">
      <w:pPr>
        <w:pStyle w:val="ListParagraph"/>
        <w:numPr>
          <w:ilvl w:val="1"/>
          <w:numId w:val="30"/>
        </w:numPr>
      </w:pPr>
      <w:r>
        <w:t>“Compelling W</w:t>
      </w:r>
      <w:r w:rsidR="00B56BCF">
        <w:t>hy</w:t>
      </w:r>
      <w:r>
        <w:t>”</w:t>
      </w:r>
      <w:r w:rsidR="00B56BCF">
        <w:t xml:space="preserve"> for the School-wide Content Area Reading Model</w:t>
      </w:r>
    </w:p>
    <w:p w:rsidR="00B56BCF" w:rsidRDefault="005D0E6E" w:rsidP="00B56BCF">
      <w:pPr>
        <w:pStyle w:val="ListParagraph"/>
        <w:numPr>
          <w:ilvl w:val="1"/>
          <w:numId w:val="30"/>
        </w:numPr>
      </w:pPr>
      <w:r>
        <w:t>Implementation</w:t>
      </w:r>
      <w:r w:rsidR="00764E56">
        <w:t xml:space="preserve"> plan </w:t>
      </w:r>
      <w:r>
        <w:t>SMART goal</w:t>
      </w:r>
      <w:r w:rsidR="00764E56">
        <w:t xml:space="preserve"> </w:t>
      </w:r>
      <w:r w:rsidR="00B56BCF">
        <w:t>related to the R-TFI</w:t>
      </w:r>
    </w:p>
    <w:p w:rsidR="00B56BCF" w:rsidRDefault="00B56BCF" w:rsidP="00B56BCF">
      <w:pPr>
        <w:pStyle w:val="ListParagraph"/>
        <w:numPr>
          <w:ilvl w:val="1"/>
          <w:numId w:val="30"/>
        </w:numPr>
      </w:pPr>
      <w:r>
        <w:t xml:space="preserve">Overview of the activities in the school-level MTSS implementation plan </w:t>
      </w:r>
    </w:p>
    <w:p w:rsidR="00B56BCF" w:rsidRDefault="00764E56" w:rsidP="00B56BCF">
      <w:pPr>
        <w:pStyle w:val="ListParagraph"/>
        <w:numPr>
          <w:ilvl w:val="0"/>
          <w:numId w:val="30"/>
        </w:numPr>
      </w:pPr>
      <w:r>
        <w:t>Reading components of the school’s implementation plan</w:t>
      </w:r>
      <w:r w:rsidR="002B4657">
        <w:t xml:space="preserve"> that are added to what they started for </w:t>
      </w:r>
      <w:r w:rsidR="00FA3C4E">
        <w:t xml:space="preserve">Tier 1 </w:t>
      </w:r>
      <w:r w:rsidR="002B4657">
        <w:t>PBIS</w:t>
      </w:r>
      <w:r w:rsidR="00FA3C4E">
        <w:t xml:space="preserve"> in non-classroom and classroom settings</w:t>
      </w:r>
    </w:p>
    <w:p w:rsidR="00B56BCF" w:rsidRDefault="000C4E1E" w:rsidP="00FA3C4E">
      <w:pPr>
        <w:pStyle w:val="Heading2"/>
      </w:pPr>
      <w:bookmarkStart w:id="5" w:name="_Toc1464143"/>
      <w:r>
        <w:t>Tier 1 Secondary Content Area</w:t>
      </w:r>
      <w:r w:rsidR="00104034">
        <w:t xml:space="preserve"> Reading Strategy Instruction: 3</w:t>
      </w:r>
      <w:r>
        <w:t xml:space="preserve"> Day</w:t>
      </w:r>
      <w:r w:rsidR="00104034">
        <w:t>s</w:t>
      </w:r>
      <w:bookmarkEnd w:id="5"/>
    </w:p>
    <w:p w:rsidR="00104034" w:rsidRDefault="005D0E6E" w:rsidP="00FA3C4E">
      <w:pPr>
        <w:pStyle w:val="Heading3"/>
      </w:pPr>
      <w:bookmarkStart w:id="6" w:name="_Toc1464144"/>
      <w:r>
        <w:t>Strategies 1 and 2</w:t>
      </w:r>
      <w:r w:rsidR="00104034">
        <w:t>: Survey, Question, Read, Respond, Review (SQ3R)</w:t>
      </w:r>
      <w:r w:rsidR="0021606B">
        <w:t xml:space="preserve"> with Passage Reading Procedures</w:t>
      </w:r>
      <w:bookmarkEnd w:id="6"/>
    </w:p>
    <w:p w:rsidR="000C4E1E" w:rsidRDefault="000C4E1E" w:rsidP="000C4E1E">
      <w:pPr>
        <w:pStyle w:val="Heading4"/>
      </w:pPr>
      <w:bookmarkStart w:id="7" w:name="_Toc1464145"/>
      <w:r>
        <w:t>Target Audience:</w:t>
      </w:r>
      <w:bookmarkEnd w:id="7"/>
    </w:p>
    <w:p w:rsidR="000C4E1E" w:rsidRDefault="000C4E1E" w:rsidP="000C4E1E">
      <w:r>
        <w:t xml:space="preserve">School administrator, </w:t>
      </w:r>
      <w:r w:rsidR="0039017B">
        <w:t xml:space="preserve">school-level coach, Science, </w:t>
      </w:r>
      <w:r>
        <w:t>Social Studies teachers</w:t>
      </w:r>
      <w:r w:rsidR="0039017B">
        <w:t>,</w:t>
      </w:r>
      <w:r>
        <w:t xml:space="preserve"> an</w:t>
      </w:r>
      <w:r w:rsidR="002B4657">
        <w:t>d the special education teacher</w:t>
      </w:r>
      <w:r w:rsidR="00104034">
        <w:t>. It is important to ensure the teachers are teaching from informational text that includes headings and subheadings are used in the class.</w:t>
      </w:r>
    </w:p>
    <w:p w:rsidR="00FA3C4E" w:rsidRDefault="00FA3C4E" w:rsidP="00FA3C4E">
      <w:pPr>
        <w:pStyle w:val="Heading4"/>
      </w:pPr>
      <w:bookmarkStart w:id="8" w:name="_Toc1464146"/>
      <w:r>
        <w:t>Topics:</w:t>
      </w:r>
      <w:bookmarkEnd w:id="8"/>
      <w:r>
        <w:t xml:space="preserve"> </w:t>
      </w:r>
    </w:p>
    <w:p w:rsidR="00FA3C4E" w:rsidRDefault="00FA3C4E" w:rsidP="00FA3C4E">
      <w:pPr>
        <w:pStyle w:val="ListParagraph"/>
        <w:numPr>
          <w:ilvl w:val="0"/>
          <w:numId w:val="33"/>
        </w:numPr>
      </w:pPr>
      <w:r>
        <w:t>Defining the reading components of an integrated behavior and reading MTSS model: School-wide Content Area Reading Model</w:t>
      </w:r>
    </w:p>
    <w:p w:rsidR="00FA3C4E" w:rsidRDefault="00FA3C4E" w:rsidP="006F14AC">
      <w:pPr>
        <w:pStyle w:val="ListParagraph"/>
        <w:numPr>
          <w:ilvl w:val="0"/>
          <w:numId w:val="33"/>
        </w:numPr>
      </w:pPr>
      <w:r>
        <w:t>Outline best practice methods for improving students’ ability to comprehend text involve an intentional focus on before, during, and after reading comprehension strategies</w:t>
      </w:r>
      <w:r w:rsidR="004A2555">
        <w:t xml:space="preserve"> (informing people that SQ3R has elements of before, during, and after comprehension strategy instruction</w:t>
      </w:r>
      <w:r w:rsidR="00041474">
        <w:t xml:space="preserve"> and Passage Reading Procedures are using while students are engaging in reading – during comprehension strategy</w:t>
      </w:r>
      <w:r w:rsidR="004A2555">
        <w:t>)</w:t>
      </w:r>
    </w:p>
    <w:p w:rsidR="00FA3C4E" w:rsidRDefault="006F14AC" w:rsidP="00FA3C4E">
      <w:pPr>
        <w:pStyle w:val="ListParagraph"/>
        <w:numPr>
          <w:ilvl w:val="0"/>
          <w:numId w:val="33"/>
        </w:numPr>
      </w:pPr>
      <w:r>
        <w:t>Describe</w:t>
      </w:r>
      <w:r w:rsidR="00FA3C4E">
        <w:t xml:space="preserve"> how participants are going to work with their school leadership team and their colleagues to expand the use of SQ3R</w:t>
      </w:r>
      <w:r w:rsidR="00041474">
        <w:t xml:space="preserve"> and Passage Reading Procedures</w:t>
      </w:r>
      <w:r w:rsidR="00FA3C4E">
        <w:t xml:space="preserve"> across the science and social studies departments</w:t>
      </w:r>
    </w:p>
    <w:p w:rsidR="00FA3C4E" w:rsidRDefault="00FA3C4E" w:rsidP="00FA3C4E">
      <w:pPr>
        <w:pStyle w:val="ListParagraph"/>
        <w:numPr>
          <w:ilvl w:val="0"/>
          <w:numId w:val="33"/>
        </w:numPr>
      </w:pPr>
      <w:r>
        <w:t>Describe how the content area reading strategies should complement the continuum of interventions accessible to struggling adolescent readers so can generalize their learning during intervention to their core subject area classes</w:t>
      </w:r>
    </w:p>
    <w:p w:rsidR="00FA3C4E" w:rsidRDefault="00FA3C4E" w:rsidP="00FA3C4E">
      <w:pPr>
        <w:pStyle w:val="ListParagraph"/>
        <w:numPr>
          <w:ilvl w:val="0"/>
          <w:numId w:val="33"/>
        </w:numPr>
      </w:pPr>
      <w:r>
        <w:t>Learn to use the SQ3R Strategy to better understand how to support the successful use of this strategy across science and social studies content areas</w:t>
      </w:r>
    </w:p>
    <w:p w:rsidR="00FA3C4E" w:rsidRDefault="00FA3C4E" w:rsidP="00FA3C4E">
      <w:pPr>
        <w:pStyle w:val="ListParagraph"/>
        <w:numPr>
          <w:ilvl w:val="0"/>
          <w:numId w:val="33"/>
        </w:numPr>
      </w:pPr>
      <w:r>
        <w:t>Outline conditions that warrant the use of the SQ3R strategy</w:t>
      </w:r>
      <w:r w:rsidR="00041474">
        <w:t xml:space="preserve"> and Passage Reading Procedures</w:t>
      </w:r>
      <w:r>
        <w:t xml:space="preserve"> versus other comprehension strategies</w:t>
      </w:r>
    </w:p>
    <w:p w:rsidR="002964D8" w:rsidRPr="00FA3C4E" w:rsidRDefault="002964D8" w:rsidP="00FA3C4E">
      <w:pPr>
        <w:pStyle w:val="ListParagraph"/>
        <w:numPr>
          <w:ilvl w:val="0"/>
          <w:numId w:val="33"/>
        </w:numPr>
      </w:pPr>
      <w:r>
        <w:t>Outline how data will be collected for the use of SQ3R</w:t>
      </w:r>
      <w:r w:rsidR="00041474">
        <w:t xml:space="preserve"> and Passage Reading Procedures and fidelity to their </w:t>
      </w:r>
      <w:r>
        <w:t>components</w:t>
      </w:r>
    </w:p>
    <w:p w:rsidR="000C4E1E" w:rsidRPr="000C4E1E" w:rsidRDefault="000C4E1E" w:rsidP="000C4E1E">
      <w:pPr>
        <w:pStyle w:val="Heading4"/>
      </w:pPr>
      <w:bookmarkStart w:id="9" w:name="_Toc1464147"/>
      <w:r w:rsidRPr="000C4E1E">
        <w:t>Products</w:t>
      </w:r>
      <w:bookmarkEnd w:id="9"/>
    </w:p>
    <w:p w:rsidR="000C4E1E" w:rsidRDefault="005D0E6E" w:rsidP="000C4E1E">
      <w:pPr>
        <w:pStyle w:val="ListParagraph"/>
        <w:numPr>
          <w:ilvl w:val="0"/>
          <w:numId w:val="34"/>
        </w:numPr>
      </w:pPr>
      <w:r>
        <w:t>E</w:t>
      </w:r>
      <w:r w:rsidR="000C4E1E">
        <w:t xml:space="preserve">xemplar product of the strategy using curriculum materials that will be used to provide initial instruction to students in how to use </w:t>
      </w:r>
    </w:p>
    <w:p w:rsidR="000C4E1E" w:rsidRDefault="005D0E6E" w:rsidP="000C4E1E">
      <w:pPr>
        <w:pStyle w:val="ListParagraph"/>
        <w:numPr>
          <w:ilvl w:val="0"/>
          <w:numId w:val="34"/>
        </w:numPr>
      </w:pPr>
      <w:r>
        <w:t xml:space="preserve">Materials necessary to develop a lesson using the SQ3R strategy </w:t>
      </w:r>
      <w:r w:rsidR="000C4E1E">
        <w:t xml:space="preserve">and </w:t>
      </w:r>
      <w:r w:rsidR="00EF27A4">
        <w:t xml:space="preserve">a </w:t>
      </w:r>
      <w:r w:rsidR="000C4E1E">
        <w:t xml:space="preserve">plan for the initial use </w:t>
      </w:r>
      <w:r w:rsidR="00EF27A4">
        <w:t xml:space="preserve">of </w:t>
      </w:r>
      <w:r w:rsidR="000C4E1E">
        <w:t xml:space="preserve">the </w:t>
      </w:r>
      <w:r w:rsidR="00C1231B">
        <w:t>SQ3R</w:t>
      </w:r>
      <w:r w:rsidR="000C4E1E">
        <w:t xml:space="preserve"> strategy </w:t>
      </w:r>
      <w:r w:rsidR="00041474">
        <w:t xml:space="preserve">and Passage Reading Procedures </w:t>
      </w:r>
      <w:r w:rsidR="000C4E1E">
        <w:t xml:space="preserve">within </w:t>
      </w:r>
      <w:r w:rsidR="00C1231B">
        <w:t>one</w:t>
      </w:r>
      <w:r w:rsidR="000C4E1E">
        <w:t xml:space="preserve"> week following the training</w:t>
      </w:r>
    </w:p>
    <w:p w:rsidR="000C4E1E" w:rsidRDefault="000C4E1E" w:rsidP="000C4E1E">
      <w:pPr>
        <w:pStyle w:val="ListParagraph"/>
        <w:numPr>
          <w:ilvl w:val="0"/>
          <w:numId w:val="34"/>
        </w:numPr>
      </w:pPr>
      <w:r>
        <w:t>Individual teacher plan for ongoing use of the SQ</w:t>
      </w:r>
      <w:r w:rsidR="00C1231B">
        <w:t>3</w:t>
      </w:r>
      <w:r>
        <w:t>R strategy</w:t>
      </w:r>
      <w:r w:rsidR="00041474">
        <w:t xml:space="preserve"> and Passage Reading Procedures</w:t>
      </w:r>
      <w:r>
        <w:t xml:space="preserve"> including identificat</w:t>
      </w:r>
      <w:r w:rsidR="00041474">
        <w:t>ion of when and how the strategies</w:t>
      </w:r>
      <w:r>
        <w:t xml:space="preserve"> will be used within the context of their content area</w:t>
      </w:r>
    </w:p>
    <w:p w:rsidR="0039017B" w:rsidRDefault="005D0E6E" w:rsidP="00FA3C4E">
      <w:pPr>
        <w:pStyle w:val="Heading3"/>
      </w:pPr>
      <w:bookmarkStart w:id="10" w:name="_Toc1464148"/>
      <w:r>
        <w:t>Strategy 3</w:t>
      </w:r>
      <w:r w:rsidR="0039017B">
        <w:t>: Text Summarization using Writing Frames</w:t>
      </w:r>
      <w:bookmarkEnd w:id="10"/>
    </w:p>
    <w:p w:rsidR="0039017B" w:rsidRDefault="0039017B" w:rsidP="0039017B">
      <w:pPr>
        <w:pStyle w:val="Heading4"/>
      </w:pPr>
      <w:bookmarkStart w:id="11" w:name="_Toc1464149"/>
      <w:r>
        <w:t>Target Audience:</w:t>
      </w:r>
      <w:bookmarkEnd w:id="11"/>
    </w:p>
    <w:p w:rsidR="0039017B" w:rsidRDefault="0039017B" w:rsidP="0039017B">
      <w:r>
        <w:t>School administrator, school-level coach, English Language Arts, Math, Science and Social Studies, and the special education teacher. For Science and Social Studies teachers, prioritize those who already participated in the SQ3R strategy</w:t>
      </w:r>
      <w:r w:rsidR="00041474">
        <w:t xml:space="preserve"> and Passage Reading Procedures</w:t>
      </w:r>
      <w:r>
        <w:t xml:space="preserve"> professional learning session and are using </w:t>
      </w:r>
      <w:r w:rsidR="00041474">
        <w:t>both of those things</w:t>
      </w:r>
      <w:r>
        <w:t xml:space="preserve"> in their classes.</w:t>
      </w:r>
    </w:p>
    <w:p w:rsidR="0039017B" w:rsidRDefault="0039017B" w:rsidP="0039017B">
      <w:pPr>
        <w:pStyle w:val="Heading4"/>
      </w:pPr>
      <w:bookmarkStart w:id="12" w:name="_Toc1464150"/>
      <w:r>
        <w:t>Topics:</w:t>
      </w:r>
      <w:bookmarkEnd w:id="12"/>
    </w:p>
    <w:p w:rsidR="00AC1531" w:rsidRDefault="00086E8E" w:rsidP="00AC1531">
      <w:pPr>
        <w:pStyle w:val="ListParagraph"/>
        <w:numPr>
          <w:ilvl w:val="0"/>
          <w:numId w:val="33"/>
        </w:numPr>
      </w:pPr>
      <w:r>
        <w:t>Outline</w:t>
      </w:r>
      <w:r w:rsidR="00AC1531">
        <w:t xml:space="preserve"> best practice methods for improving students’ ability to comprehend text </w:t>
      </w:r>
      <w:r w:rsidR="00F918B2">
        <w:t xml:space="preserve">that </w:t>
      </w:r>
      <w:r w:rsidR="00AC1531">
        <w:t>involve an intentional focus on before, during, and after reading comprehension strategies</w:t>
      </w:r>
      <w:r w:rsidR="004A2555">
        <w:t xml:space="preserve"> (reminding people SQ3R has elements of before, during, and after comprehension strategies</w:t>
      </w:r>
      <w:r w:rsidR="00041474">
        <w:t>, Passage Reading Procedures is a during reading comprehension strategy,</w:t>
      </w:r>
      <w:r w:rsidR="004A2555">
        <w:t xml:space="preserve"> and </w:t>
      </w:r>
      <w:r w:rsidR="00041474">
        <w:t>inform</w:t>
      </w:r>
      <w:r w:rsidR="004A2555">
        <w:t xml:space="preserve"> people Text Summarization using Writing Frames strategy is an after-reading strategy)</w:t>
      </w:r>
    </w:p>
    <w:p w:rsidR="00AC1531" w:rsidRDefault="00AC1531" w:rsidP="00AC1531">
      <w:pPr>
        <w:pStyle w:val="ListParagraph"/>
        <w:numPr>
          <w:ilvl w:val="0"/>
          <w:numId w:val="33"/>
        </w:numPr>
      </w:pPr>
      <w:r>
        <w:t>Discuss how text summarization using writing frames is an evidence-based comprehension strategy</w:t>
      </w:r>
    </w:p>
    <w:p w:rsidR="00AC1531" w:rsidRDefault="0021606B" w:rsidP="00AC1531">
      <w:pPr>
        <w:pStyle w:val="ListParagraph"/>
        <w:numPr>
          <w:ilvl w:val="0"/>
          <w:numId w:val="33"/>
        </w:numPr>
      </w:pPr>
      <w:r>
        <w:t>Describe</w:t>
      </w:r>
      <w:r w:rsidR="00AC1531">
        <w:t xml:space="preserve"> how participants are going to work with their school leadership team and their col</w:t>
      </w:r>
      <w:r>
        <w:t>leagues to expand the use of the Text S</w:t>
      </w:r>
      <w:r w:rsidR="00AC1531">
        <w:t>ummarization</w:t>
      </w:r>
      <w:r>
        <w:t xml:space="preserve"> using Writing Frames Strategy</w:t>
      </w:r>
      <w:r w:rsidR="00AC1531">
        <w:t xml:space="preserve"> across core subject area classes</w:t>
      </w:r>
    </w:p>
    <w:p w:rsidR="00AC1531" w:rsidRDefault="00AC1531" w:rsidP="00AC1531">
      <w:pPr>
        <w:pStyle w:val="ListParagraph"/>
        <w:numPr>
          <w:ilvl w:val="0"/>
          <w:numId w:val="33"/>
        </w:numPr>
      </w:pPr>
      <w:r>
        <w:t xml:space="preserve">Learn to use the Text Summarization using Writing Frames Strategy </w:t>
      </w:r>
    </w:p>
    <w:p w:rsidR="00AC1531" w:rsidRDefault="00AC1531" w:rsidP="00AC1531">
      <w:pPr>
        <w:pStyle w:val="ListParagraph"/>
        <w:numPr>
          <w:ilvl w:val="0"/>
          <w:numId w:val="33"/>
        </w:numPr>
      </w:pPr>
      <w:r>
        <w:t>Outline conditions that warrant the use of the strategy versus other comprehension strategies</w:t>
      </w:r>
    </w:p>
    <w:p w:rsidR="002964D8" w:rsidRPr="00FA3C4E" w:rsidRDefault="002964D8" w:rsidP="002964D8">
      <w:pPr>
        <w:pStyle w:val="ListParagraph"/>
        <w:numPr>
          <w:ilvl w:val="0"/>
          <w:numId w:val="33"/>
        </w:numPr>
      </w:pPr>
      <w:r>
        <w:t>Outline how data will be collected for the use of the Text Summarization using Writing Frames strategy and fidelity to its components</w:t>
      </w:r>
    </w:p>
    <w:p w:rsidR="00F05F8C" w:rsidRDefault="002964D8" w:rsidP="00AC1531">
      <w:pPr>
        <w:pStyle w:val="ListParagraph"/>
        <w:numPr>
          <w:ilvl w:val="0"/>
          <w:numId w:val="33"/>
        </w:numPr>
      </w:pPr>
      <w:r>
        <w:t xml:space="preserve">Provide an overview of the </w:t>
      </w:r>
      <w:r w:rsidR="00425352">
        <w:t>instructional progression fo</w:t>
      </w:r>
      <w:r w:rsidR="00F05F8C">
        <w:t>r developing writing skills</w:t>
      </w:r>
    </w:p>
    <w:p w:rsidR="002964D8" w:rsidRPr="00AB0CF1" w:rsidRDefault="00F05F8C" w:rsidP="00AC1531">
      <w:pPr>
        <w:pStyle w:val="ListParagraph"/>
        <w:numPr>
          <w:ilvl w:val="0"/>
          <w:numId w:val="33"/>
        </w:numPr>
      </w:pPr>
      <w:r>
        <w:t xml:space="preserve">Discuss </w:t>
      </w:r>
      <w:r w:rsidR="00425352">
        <w:t xml:space="preserve">how </w:t>
      </w:r>
      <w:r>
        <w:t>the writing skills would need be in place when wondering if a student will be able to independently structure a high-quality piece of writing without the scaffold of a writing frame with success</w:t>
      </w:r>
    </w:p>
    <w:p w:rsidR="00AC1531" w:rsidRPr="000C4E1E" w:rsidRDefault="00AC1531" w:rsidP="00AC1531">
      <w:pPr>
        <w:pStyle w:val="Heading4"/>
      </w:pPr>
      <w:bookmarkStart w:id="13" w:name="_Toc1464151"/>
      <w:r w:rsidRPr="000C4E1E">
        <w:t>Products</w:t>
      </w:r>
      <w:bookmarkEnd w:id="13"/>
    </w:p>
    <w:p w:rsidR="00AC1531" w:rsidRDefault="00AC1531" w:rsidP="00AC1531">
      <w:pPr>
        <w:pStyle w:val="ListParagraph"/>
        <w:numPr>
          <w:ilvl w:val="0"/>
          <w:numId w:val="34"/>
        </w:numPr>
      </w:pPr>
      <w:r>
        <w:t xml:space="preserve">Develop an exemplar product of the strategy using curriculum materials that will be used to provide initial instruction to students </w:t>
      </w:r>
    </w:p>
    <w:p w:rsidR="00AC1531" w:rsidRDefault="005D0E6E" w:rsidP="00AC1531">
      <w:pPr>
        <w:pStyle w:val="ListParagraph"/>
        <w:numPr>
          <w:ilvl w:val="0"/>
          <w:numId w:val="34"/>
        </w:numPr>
      </w:pPr>
      <w:r>
        <w:t xml:space="preserve">Materials necessary to develop a lesson using the Text Summarization using Writing Frames strategy </w:t>
      </w:r>
      <w:r w:rsidR="00AC1531">
        <w:t>and a plan for the initial use of the strategy within one week following the training</w:t>
      </w:r>
      <w:r w:rsidR="00F05F8C">
        <w:t xml:space="preserve"> (includes teacher modeling, guided practice, and opportunity for independent practice)</w:t>
      </w:r>
    </w:p>
    <w:p w:rsidR="00AC1531" w:rsidRDefault="00AC1531" w:rsidP="00AC1531">
      <w:pPr>
        <w:pStyle w:val="ListParagraph"/>
        <w:numPr>
          <w:ilvl w:val="0"/>
          <w:numId w:val="34"/>
        </w:numPr>
      </w:pPr>
      <w:r>
        <w:t>Individual teacher plan for ongoing use of the Text Summarization using Writing Frames Strategy including identification of when and how the strategy will be used within the context of their content area</w:t>
      </w:r>
    </w:p>
    <w:p w:rsidR="00F05F8C" w:rsidRDefault="005D0E6E" w:rsidP="00F05F8C">
      <w:pPr>
        <w:pStyle w:val="Heading3"/>
      </w:pPr>
      <w:bookmarkStart w:id="14" w:name="_Toc1464152"/>
      <w:r>
        <w:t>Strategy 4</w:t>
      </w:r>
      <w:r w:rsidR="00F05F8C">
        <w:t>: Vocabulary Instruction</w:t>
      </w:r>
      <w:bookmarkEnd w:id="14"/>
    </w:p>
    <w:p w:rsidR="00F05F8C" w:rsidRDefault="00F05F8C" w:rsidP="00F05F8C">
      <w:pPr>
        <w:pStyle w:val="Heading4"/>
      </w:pPr>
      <w:bookmarkStart w:id="15" w:name="_Toc1464153"/>
      <w:r>
        <w:t>Target Audience</w:t>
      </w:r>
      <w:bookmarkEnd w:id="15"/>
    </w:p>
    <w:p w:rsidR="00F05F8C" w:rsidRPr="00F05F8C" w:rsidRDefault="00F05F8C" w:rsidP="00F05F8C">
      <w:r>
        <w:t>School administrator, school-level coach, English Language Arts, Math, Science and Social Studies, and the special education teacher. For Science and Social Studies teachers, prioritize those who already participated in the SQ3R</w:t>
      </w:r>
      <w:r w:rsidR="00152797">
        <w:t>, Passage Reading Procedures,</w:t>
      </w:r>
      <w:r>
        <w:t xml:space="preserve"> and Text Summarization using Writing Frames strategy professional learning sessions and are using </w:t>
      </w:r>
      <w:r w:rsidR="00152797">
        <w:t xml:space="preserve">the </w:t>
      </w:r>
      <w:r>
        <w:t>strategies in their classes.</w:t>
      </w:r>
    </w:p>
    <w:p w:rsidR="00F05F8C" w:rsidRDefault="00F05F8C" w:rsidP="00F05F8C">
      <w:pPr>
        <w:pStyle w:val="Heading4"/>
      </w:pPr>
      <w:bookmarkStart w:id="16" w:name="_Toc1464154"/>
      <w:r>
        <w:t>Topics</w:t>
      </w:r>
      <w:bookmarkEnd w:id="16"/>
    </w:p>
    <w:p w:rsidR="00F05F8C" w:rsidRDefault="00F05F8C" w:rsidP="00F05F8C">
      <w:pPr>
        <w:pStyle w:val="ListParagraph"/>
        <w:numPr>
          <w:ilvl w:val="0"/>
          <w:numId w:val="33"/>
        </w:numPr>
      </w:pPr>
      <w:r>
        <w:t>Review best practice methods for improving students’ ability to comprehend text that involve an intentional focus on before, during, and after reading comprehension strategies</w:t>
      </w:r>
      <w:r w:rsidR="00CB1B3D">
        <w:t xml:space="preserve"> (</w:t>
      </w:r>
      <w:r w:rsidR="004A2555">
        <w:t>making the connection that SQ3R has elements of before, during, and after comprehension strategies</w:t>
      </w:r>
      <w:r w:rsidR="00152797">
        <w:t>, Passage Reading Procedures is a during reading comprehension strategy,</w:t>
      </w:r>
      <w:r w:rsidR="004A2555">
        <w:t xml:space="preserve"> and the Text Summarization using Writing Frames strategy is an after-reading comprehension strategy)</w:t>
      </w:r>
    </w:p>
    <w:p w:rsidR="00F05F8C" w:rsidRDefault="00F05F8C" w:rsidP="00F05F8C">
      <w:pPr>
        <w:pStyle w:val="ListParagraph"/>
        <w:numPr>
          <w:ilvl w:val="0"/>
          <w:numId w:val="33"/>
        </w:numPr>
      </w:pPr>
      <w:r>
        <w:t>Discuss how teaching vocabulary before students encounter words in text / class discussion is an evidence-based comprehension strategy</w:t>
      </w:r>
    </w:p>
    <w:p w:rsidR="00F05F8C" w:rsidRDefault="00F05F8C" w:rsidP="00F05F8C">
      <w:pPr>
        <w:pStyle w:val="ListParagraph"/>
        <w:numPr>
          <w:ilvl w:val="0"/>
          <w:numId w:val="33"/>
        </w:numPr>
      </w:pPr>
      <w:r>
        <w:t>Outline a continuum of methods used to teach vocabulary ranging from the most ef</w:t>
      </w:r>
      <w:r w:rsidR="005D0E6E">
        <w:t>fective to least effective ways</w:t>
      </w:r>
    </w:p>
    <w:p w:rsidR="007C3127" w:rsidRDefault="00D90BA5" w:rsidP="00F05F8C">
      <w:pPr>
        <w:pStyle w:val="ListParagraph"/>
        <w:numPr>
          <w:ilvl w:val="0"/>
          <w:numId w:val="33"/>
        </w:numPr>
      </w:pPr>
      <w:r>
        <w:t xml:space="preserve">Describe the components of an explicit-teaching vocabulary lesson </w:t>
      </w:r>
    </w:p>
    <w:p w:rsidR="00D90BA5" w:rsidRDefault="00D90BA5" w:rsidP="00F05F8C">
      <w:pPr>
        <w:pStyle w:val="ListParagraph"/>
        <w:numPr>
          <w:ilvl w:val="0"/>
          <w:numId w:val="33"/>
        </w:numPr>
      </w:pPr>
      <w:r>
        <w:t>Outline the instructional routine to explicitly teach the meaning and pronunciation of unknown words</w:t>
      </w:r>
    </w:p>
    <w:p w:rsidR="00D90BA5" w:rsidRDefault="00D90BA5" w:rsidP="00F05F8C">
      <w:pPr>
        <w:pStyle w:val="ListParagraph"/>
        <w:numPr>
          <w:ilvl w:val="0"/>
          <w:numId w:val="33"/>
        </w:numPr>
      </w:pPr>
      <w:r>
        <w:t>Model the teaching of an explicit vocabulary lesson and provide participants practice opportunities to teach a variety of words across content areas</w:t>
      </w:r>
    </w:p>
    <w:p w:rsidR="00D90BA5" w:rsidRDefault="00D90BA5" w:rsidP="00F05F8C">
      <w:pPr>
        <w:pStyle w:val="ListParagraph"/>
        <w:numPr>
          <w:ilvl w:val="0"/>
          <w:numId w:val="33"/>
        </w:numPr>
      </w:pPr>
      <w:r>
        <w:t>Define the condit</w:t>
      </w:r>
      <w:r w:rsidR="005D0E6E">
        <w:t>ions that warrant the use of an</w:t>
      </w:r>
      <w:r>
        <w:t xml:space="preserve"> explicit vocabulary lesson</w:t>
      </w:r>
    </w:p>
    <w:p w:rsidR="00D90BA5" w:rsidRDefault="00D90BA5" w:rsidP="00F05F8C">
      <w:pPr>
        <w:pStyle w:val="ListParagraph"/>
        <w:numPr>
          <w:ilvl w:val="0"/>
          <w:numId w:val="33"/>
        </w:numPr>
      </w:pPr>
      <w:r>
        <w:t>Describe the components of another vocabulary teaching strategy where students are using context clues to help define the meaning of unknown words</w:t>
      </w:r>
    </w:p>
    <w:p w:rsidR="00D90BA5" w:rsidRDefault="00D90BA5" w:rsidP="00F05F8C">
      <w:pPr>
        <w:pStyle w:val="ListParagraph"/>
        <w:numPr>
          <w:ilvl w:val="0"/>
          <w:numId w:val="33"/>
        </w:numPr>
      </w:pPr>
      <w:r>
        <w:t>Model how to teach students to use context clues to determine the meaning of words</w:t>
      </w:r>
    </w:p>
    <w:p w:rsidR="00D90BA5" w:rsidRDefault="00D90BA5" w:rsidP="00F05F8C">
      <w:pPr>
        <w:pStyle w:val="ListParagraph"/>
        <w:numPr>
          <w:ilvl w:val="0"/>
          <w:numId w:val="33"/>
        </w:numPr>
      </w:pPr>
      <w:r>
        <w:t>Define the conditions that warrant students using context clues to determine the meaning of unknown words</w:t>
      </w:r>
    </w:p>
    <w:p w:rsidR="00F05F8C" w:rsidRDefault="00F05F8C" w:rsidP="00F05F8C">
      <w:pPr>
        <w:pStyle w:val="ListParagraph"/>
        <w:numPr>
          <w:ilvl w:val="0"/>
          <w:numId w:val="33"/>
        </w:numPr>
      </w:pPr>
      <w:r>
        <w:t xml:space="preserve">Discuss how participants are going to work with their school leadership team and their colleagues to expand the use of </w:t>
      </w:r>
      <w:r w:rsidR="00D90BA5">
        <w:t>the two vocabulary</w:t>
      </w:r>
      <w:r w:rsidR="005D0E6E">
        <w:t xml:space="preserve"> teaching strategies</w:t>
      </w:r>
      <w:r w:rsidR="00D90BA5">
        <w:t xml:space="preserve"> </w:t>
      </w:r>
      <w:r>
        <w:t>across core subject area classes</w:t>
      </w:r>
    </w:p>
    <w:p w:rsidR="00F05F8C" w:rsidRDefault="00F05F8C" w:rsidP="00F05F8C">
      <w:pPr>
        <w:pStyle w:val="ListParagraph"/>
        <w:numPr>
          <w:ilvl w:val="0"/>
          <w:numId w:val="33"/>
        </w:numPr>
      </w:pPr>
      <w:r>
        <w:t>Outline conditi</w:t>
      </w:r>
      <w:r w:rsidR="00D90BA5">
        <w:t>ons that warrant the use of these strategies for teaching vocabulary</w:t>
      </w:r>
      <w:r>
        <w:t xml:space="preserve"> versus other comprehension strategies</w:t>
      </w:r>
    </w:p>
    <w:p w:rsidR="00F05F8C" w:rsidRPr="00F05F8C" w:rsidRDefault="00F05F8C" w:rsidP="00F05F8C">
      <w:pPr>
        <w:pStyle w:val="ListParagraph"/>
        <w:numPr>
          <w:ilvl w:val="0"/>
          <w:numId w:val="33"/>
        </w:numPr>
      </w:pPr>
      <w:r>
        <w:t xml:space="preserve">Outline how data will be collected for the use of the </w:t>
      </w:r>
      <w:r w:rsidR="00D90BA5">
        <w:t>vocabulary strategies and fidelity to its components</w:t>
      </w:r>
    </w:p>
    <w:p w:rsidR="00F05F8C" w:rsidRPr="00F05F8C" w:rsidRDefault="00F05F8C" w:rsidP="00F05F8C">
      <w:pPr>
        <w:pStyle w:val="Heading4"/>
      </w:pPr>
      <w:bookmarkStart w:id="17" w:name="_Toc1464155"/>
      <w:r>
        <w:t>Products</w:t>
      </w:r>
      <w:bookmarkEnd w:id="17"/>
    </w:p>
    <w:p w:rsidR="00D90BA5" w:rsidRDefault="005D0E6E" w:rsidP="00D90BA5">
      <w:pPr>
        <w:pStyle w:val="ListParagraph"/>
        <w:numPr>
          <w:ilvl w:val="0"/>
          <w:numId w:val="34"/>
        </w:numPr>
      </w:pPr>
      <w:r>
        <w:t>Exemplar</w:t>
      </w:r>
      <w:r w:rsidR="00D90BA5">
        <w:t xml:space="preserve"> product</w:t>
      </w:r>
      <w:r>
        <w:t xml:space="preserve"> created by participants</w:t>
      </w:r>
      <w:r w:rsidR="00D90BA5">
        <w:t xml:space="preserve"> of the context clues vocabulary strategy using curriculum materials that will be used to provide initial instruction to students </w:t>
      </w:r>
    </w:p>
    <w:p w:rsidR="00D90BA5" w:rsidRDefault="00D90BA5" w:rsidP="00D90BA5">
      <w:pPr>
        <w:pStyle w:val="ListParagraph"/>
        <w:numPr>
          <w:ilvl w:val="0"/>
          <w:numId w:val="34"/>
        </w:numPr>
      </w:pPr>
      <w:r>
        <w:t xml:space="preserve">Review a cross-content area </w:t>
      </w:r>
      <w:r w:rsidR="005D0E6E">
        <w:t>“</w:t>
      </w:r>
      <w:r>
        <w:t>bank</w:t>
      </w:r>
      <w:r w:rsidR="005D0E6E">
        <w:t>”</w:t>
      </w:r>
      <w:r>
        <w:t xml:space="preserve"> of explicit vocabulary lessons to select some to use with students</w:t>
      </w:r>
    </w:p>
    <w:p w:rsidR="00D90BA5" w:rsidRDefault="00D90BA5" w:rsidP="00D90BA5">
      <w:pPr>
        <w:pStyle w:val="ListParagraph"/>
        <w:numPr>
          <w:ilvl w:val="0"/>
          <w:numId w:val="34"/>
        </w:numPr>
      </w:pPr>
      <w:r>
        <w:t>Materials necessary</w:t>
      </w:r>
      <w:r w:rsidR="005D0E6E">
        <w:t xml:space="preserve"> to develop lessons that include each of the two vocabulary teaching options </w:t>
      </w:r>
      <w:r>
        <w:t>and a plan for the initial use of the strategies within one week following the training (includes teacher modeling, guided practice, and opportunity for independent practice)</w:t>
      </w:r>
    </w:p>
    <w:p w:rsidR="00D90BA5" w:rsidRDefault="00D90BA5" w:rsidP="00D90BA5">
      <w:pPr>
        <w:pStyle w:val="ListParagraph"/>
        <w:numPr>
          <w:ilvl w:val="0"/>
          <w:numId w:val="34"/>
        </w:numPr>
      </w:pPr>
      <w:r>
        <w:t>Individual teacher plan for ongoing use of the vocabulary strategies including identification of when and how the strategy will be used within the context of their content area</w:t>
      </w:r>
    </w:p>
    <w:p w:rsidR="0039017B" w:rsidRPr="000C4E1E" w:rsidRDefault="0039017B" w:rsidP="0039017B"/>
    <w:sectPr w:rsidR="0039017B" w:rsidRPr="000C4E1E" w:rsidSect="00E971C3">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ADA" w:rsidRDefault="004F7ADA" w:rsidP="00571198">
      <w:pPr>
        <w:spacing w:after="0" w:line="240" w:lineRule="auto"/>
      </w:pPr>
      <w:r>
        <w:separator/>
      </w:r>
    </w:p>
  </w:endnote>
  <w:endnote w:type="continuationSeparator" w:id="0">
    <w:p w:rsidR="004F7ADA" w:rsidRDefault="004F7ADA" w:rsidP="00571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198" w:rsidRDefault="00AB0CF1" w:rsidP="00571198">
    <w:pPr>
      <w:tabs>
        <w:tab w:val="center" w:pos="4680"/>
        <w:tab w:val="right" w:pos="9360"/>
      </w:tabs>
      <w:spacing w:before="120" w:after="0" w:line="240" w:lineRule="auto"/>
      <w:jc w:val="center"/>
      <w:rPr>
        <w:sz w:val="18"/>
        <w:szCs w:val="18"/>
      </w:rPr>
    </w:pPr>
    <w:r>
      <w:rPr>
        <w:rFonts w:eastAsia="Arial" w:cs="Arial"/>
        <w:color w:val="000000"/>
        <w:sz w:val="18"/>
        <w:szCs w:val="18"/>
      </w:rPr>
      <w:t xml:space="preserve">MTSS </w:t>
    </w:r>
    <w:r w:rsidR="0001589D">
      <w:rPr>
        <w:rFonts w:eastAsia="Arial" w:cs="Arial"/>
        <w:color w:val="000000"/>
        <w:sz w:val="18"/>
        <w:szCs w:val="18"/>
      </w:rPr>
      <w:t xml:space="preserve">Secondary </w:t>
    </w:r>
    <w:r>
      <w:rPr>
        <w:rFonts w:eastAsia="Arial" w:cs="Arial"/>
        <w:color w:val="000000"/>
        <w:sz w:val="18"/>
        <w:szCs w:val="18"/>
      </w:rPr>
      <w:t>Professional Learning Overview</w:t>
    </w:r>
    <w:r w:rsidR="00085C77">
      <w:rPr>
        <w:rFonts w:eastAsia="Arial" w:cs="Arial"/>
        <w:color w:val="000000"/>
        <w:sz w:val="18"/>
        <w:szCs w:val="18"/>
      </w:rPr>
      <w:t xml:space="preserve"> Tier 1 Reading</w:t>
    </w:r>
    <w:r>
      <w:rPr>
        <w:rFonts w:eastAsia="Arial" w:cs="Arial"/>
        <w:color w:val="000000"/>
        <w:sz w:val="18"/>
        <w:szCs w:val="18"/>
      </w:rPr>
      <w:t xml:space="preserve"> </w:t>
    </w:r>
    <w:r w:rsidR="00571198">
      <w:rPr>
        <w:rFonts w:eastAsia="Arial" w:cs="Arial"/>
        <w:color w:val="000000"/>
        <w:sz w:val="18"/>
        <w:szCs w:val="18"/>
      </w:rPr>
      <w:t>(</w:t>
    </w:r>
    <w:proofErr w:type="gramStart"/>
    <w:r w:rsidR="0001589D">
      <w:rPr>
        <w:sz w:val="18"/>
        <w:szCs w:val="18"/>
      </w:rPr>
      <w:t>February,</w:t>
    </w:r>
    <w:proofErr w:type="gramEnd"/>
    <w:r w:rsidR="0001589D">
      <w:rPr>
        <w:sz w:val="18"/>
        <w:szCs w:val="18"/>
      </w:rPr>
      <w:t xml:space="preserve"> 201</w:t>
    </w:r>
    <w:r w:rsidR="00524D26">
      <w:rPr>
        <w:sz w:val="18"/>
        <w:szCs w:val="18"/>
      </w:rPr>
      <w:t>9</w:t>
    </w:r>
    <w:r w:rsidR="00571198">
      <w:rPr>
        <w:rFonts w:eastAsia="Arial" w:cs="Arial"/>
        <w:color w:val="000000"/>
        <w:sz w:val="18"/>
        <w:szCs w:val="18"/>
      </w:rPr>
      <w:t>)</w:t>
    </w:r>
  </w:p>
  <w:p w:rsidR="00571198" w:rsidRDefault="00571198" w:rsidP="00571198">
    <w:pPr>
      <w:tabs>
        <w:tab w:val="center" w:pos="4680"/>
        <w:tab w:val="right" w:pos="9360"/>
      </w:tabs>
      <w:spacing w:after="0" w:line="240" w:lineRule="auto"/>
      <w:jc w:val="center"/>
      <w:rPr>
        <w:sz w:val="18"/>
        <w:szCs w:val="18"/>
      </w:rPr>
    </w:pPr>
    <w:r>
      <w:rPr>
        <w:rFonts w:eastAsia="Arial" w:cs="Arial"/>
        <w:color w:val="000000"/>
        <w:sz w:val="18"/>
        <w:szCs w:val="18"/>
      </w:rPr>
      <w:t xml:space="preserve">Michigan’s Integrated Behavior and Learning Support Initiative (MIBLSI) is a Grant Funded Initiative (GFI), </w:t>
    </w:r>
  </w:p>
  <w:p w:rsidR="00571198" w:rsidRDefault="00571198" w:rsidP="00571198">
    <w:pPr>
      <w:tabs>
        <w:tab w:val="center" w:pos="4680"/>
        <w:tab w:val="right" w:pos="9360"/>
      </w:tabs>
      <w:spacing w:line="240" w:lineRule="auto"/>
      <w:jc w:val="center"/>
      <w:rPr>
        <w:rFonts w:eastAsia="Arial" w:cs="Arial"/>
        <w:color w:val="000000"/>
        <w:sz w:val="18"/>
        <w:szCs w:val="18"/>
      </w:rPr>
    </w:pPr>
    <w:r>
      <w:rPr>
        <w:rFonts w:eastAsia="Arial" w:cs="Arial"/>
        <w:color w:val="000000"/>
        <w:sz w:val="18"/>
        <w:szCs w:val="18"/>
      </w:rPr>
      <w:t xml:space="preserve">funded under the </w:t>
    </w:r>
    <w:r>
      <w:rPr>
        <w:rFonts w:eastAsia="Arial" w:cs="Arial"/>
        <w:i/>
        <w:color w:val="000000"/>
        <w:sz w:val="18"/>
        <w:szCs w:val="18"/>
      </w:rPr>
      <w:t>Individuals with Disabilities Education Act</w:t>
    </w:r>
    <w:r>
      <w:rPr>
        <w:rFonts w:eastAsia="Arial" w:cs="Arial"/>
        <w:color w:val="000000"/>
        <w:sz w:val="18"/>
        <w:szCs w:val="18"/>
      </w:rPr>
      <w:t xml:space="preserve"> (IDEA) through the Michigan Department of Education.</w:t>
    </w:r>
  </w:p>
  <w:p w:rsidR="00E971C3" w:rsidRPr="00E971C3" w:rsidRDefault="00E971C3" w:rsidP="00571198">
    <w:pPr>
      <w:tabs>
        <w:tab w:val="center" w:pos="4680"/>
        <w:tab w:val="right" w:pos="9360"/>
      </w:tabs>
      <w:spacing w:line="240" w:lineRule="auto"/>
      <w:jc w:val="center"/>
      <w:rPr>
        <w:rFonts w:cs="Arial"/>
        <w:szCs w:val="24"/>
      </w:rPr>
    </w:pPr>
    <w:r w:rsidRPr="00E971C3">
      <w:rPr>
        <w:rFonts w:eastAsia="Arial" w:cs="Arial"/>
        <w:color w:val="000000"/>
        <w:szCs w:val="24"/>
      </w:rPr>
      <w:t xml:space="preserve">Page </w:t>
    </w:r>
    <w:r w:rsidRPr="00E971C3">
      <w:rPr>
        <w:rFonts w:eastAsia="Arial" w:cs="Arial"/>
        <w:color w:val="000000"/>
        <w:szCs w:val="24"/>
      </w:rPr>
      <w:fldChar w:fldCharType="begin"/>
    </w:r>
    <w:r w:rsidRPr="00E971C3">
      <w:rPr>
        <w:rFonts w:eastAsia="Arial" w:cs="Arial"/>
        <w:color w:val="000000"/>
        <w:szCs w:val="24"/>
      </w:rPr>
      <w:instrText xml:space="preserve"> PAGE </w:instrText>
    </w:r>
    <w:r w:rsidRPr="00E971C3">
      <w:rPr>
        <w:rFonts w:eastAsia="Arial" w:cs="Arial"/>
        <w:color w:val="000000"/>
        <w:szCs w:val="24"/>
      </w:rPr>
      <w:fldChar w:fldCharType="separate"/>
    </w:r>
    <w:r w:rsidR="00AF4379">
      <w:rPr>
        <w:rFonts w:eastAsia="Arial" w:cs="Arial"/>
        <w:noProof/>
        <w:color w:val="000000"/>
        <w:szCs w:val="24"/>
      </w:rPr>
      <w:t>2</w:t>
    </w:r>
    <w:r w:rsidRPr="00E971C3">
      <w:rPr>
        <w:rFonts w:eastAsia="Arial" w:cs="Arial"/>
        <w:color w:val="000000"/>
        <w:szCs w:val="24"/>
      </w:rPr>
      <w:fldChar w:fldCharType="end"/>
    </w:r>
    <w:r w:rsidRPr="00E971C3">
      <w:rPr>
        <w:rFonts w:eastAsia="Arial" w:cs="Arial"/>
        <w:color w:val="000000"/>
        <w:szCs w:val="24"/>
      </w:rPr>
      <w:t xml:space="preserve"> of </w:t>
    </w:r>
    <w:r w:rsidRPr="00E971C3">
      <w:rPr>
        <w:rFonts w:eastAsia="Arial" w:cs="Arial"/>
        <w:color w:val="000000"/>
        <w:szCs w:val="24"/>
      </w:rPr>
      <w:fldChar w:fldCharType="begin"/>
    </w:r>
    <w:r w:rsidRPr="00E971C3">
      <w:rPr>
        <w:rFonts w:eastAsia="Arial" w:cs="Arial"/>
        <w:color w:val="000000"/>
        <w:szCs w:val="24"/>
      </w:rPr>
      <w:instrText xml:space="preserve"> NUMPAGES </w:instrText>
    </w:r>
    <w:r w:rsidRPr="00E971C3">
      <w:rPr>
        <w:rFonts w:eastAsia="Arial" w:cs="Arial"/>
        <w:color w:val="000000"/>
        <w:szCs w:val="24"/>
      </w:rPr>
      <w:fldChar w:fldCharType="separate"/>
    </w:r>
    <w:r w:rsidR="00AF4379">
      <w:rPr>
        <w:rFonts w:eastAsia="Arial" w:cs="Arial"/>
        <w:noProof/>
        <w:color w:val="000000"/>
        <w:szCs w:val="24"/>
      </w:rPr>
      <w:t>8</w:t>
    </w:r>
    <w:r w:rsidRPr="00E971C3">
      <w:rPr>
        <w:rFonts w:eastAsia="Arial" w:cs="Arial"/>
        <w:color w:val="000000"/>
        <w:szCs w:val="24"/>
      </w:rPr>
      <w:fldChar w:fldCharType="end"/>
    </w:r>
  </w:p>
  <w:p w:rsidR="00571198" w:rsidRDefault="005711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ADA" w:rsidRDefault="004F7ADA" w:rsidP="00571198">
      <w:pPr>
        <w:spacing w:after="0" w:line="240" w:lineRule="auto"/>
      </w:pPr>
      <w:r>
        <w:separator/>
      </w:r>
    </w:p>
  </w:footnote>
  <w:footnote w:type="continuationSeparator" w:id="0">
    <w:p w:rsidR="004F7ADA" w:rsidRDefault="004F7ADA" w:rsidP="0057119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DE667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FDC62CE"/>
    <w:lvl w:ilvl="0">
      <w:start w:val="1"/>
      <w:numFmt w:val="decimal"/>
      <w:lvlText w:val="%1."/>
      <w:lvlJc w:val="left"/>
      <w:pPr>
        <w:tabs>
          <w:tab w:val="num" w:pos="1800"/>
        </w:tabs>
        <w:ind w:left="1800" w:hanging="360"/>
      </w:pPr>
    </w:lvl>
  </w:abstractNum>
  <w:abstractNum w:abstractNumId="2">
    <w:nsid w:val="FFFFFF7D"/>
    <w:multiLevelType w:val="singleLevel"/>
    <w:tmpl w:val="155EFDB6"/>
    <w:lvl w:ilvl="0">
      <w:start w:val="1"/>
      <w:numFmt w:val="decimal"/>
      <w:lvlText w:val="%1."/>
      <w:lvlJc w:val="left"/>
      <w:pPr>
        <w:tabs>
          <w:tab w:val="num" w:pos="1440"/>
        </w:tabs>
        <w:ind w:left="1440" w:hanging="360"/>
      </w:pPr>
    </w:lvl>
  </w:abstractNum>
  <w:abstractNum w:abstractNumId="3">
    <w:nsid w:val="FFFFFF7E"/>
    <w:multiLevelType w:val="singleLevel"/>
    <w:tmpl w:val="D5D29824"/>
    <w:lvl w:ilvl="0">
      <w:start w:val="1"/>
      <w:numFmt w:val="decimal"/>
      <w:lvlText w:val="%1."/>
      <w:lvlJc w:val="left"/>
      <w:pPr>
        <w:tabs>
          <w:tab w:val="num" w:pos="1080"/>
        </w:tabs>
        <w:ind w:left="1080" w:hanging="360"/>
      </w:pPr>
    </w:lvl>
  </w:abstractNum>
  <w:abstractNum w:abstractNumId="4">
    <w:nsid w:val="FFFFFF7F"/>
    <w:multiLevelType w:val="singleLevel"/>
    <w:tmpl w:val="3454DF14"/>
    <w:lvl w:ilvl="0">
      <w:start w:val="1"/>
      <w:numFmt w:val="decimal"/>
      <w:lvlText w:val="%1."/>
      <w:lvlJc w:val="left"/>
      <w:pPr>
        <w:tabs>
          <w:tab w:val="num" w:pos="720"/>
        </w:tabs>
        <w:ind w:left="720" w:hanging="360"/>
      </w:pPr>
    </w:lvl>
  </w:abstractNum>
  <w:abstractNum w:abstractNumId="5">
    <w:nsid w:val="FFFFFF80"/>
    <w:multiLevelType w:val="singleLevel"/>
    <w:tmpl w:val="A42473F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9240BC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D943BD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638DAA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D5086CC"/>
    <w:lvl w:ilvl="0">
      <w:start w:val="1"/>
      <w:numFmt w:val="decimal"/>
      <w:lvlText w:val="%1."/>
      <w:lvlJc w:val="left"/>
      <w:pPr>
        <w:tabs>
          <w:tab w:val="num" w:pos="360"/>
        </w:tabs>
        <w:ind w:left="360" w:hanging="360"/>
      </w:pPr>
    </w:lvl>
  </w:abstractNum>
  <w:abstractNum w:abstractNumId="10">
    <w:nsid w:val="FFFFFF89"/>
    <w:multiLevelType w:val="singleLevel"/>
    <w:tmpl w:val="B284EC72"/>
    <w:lvl w:ilvl="0">
      <w:start w:val="1"/>
      <w:numFmt w:val="bullet"/>
      <w:lvlText w:val=""/>
      <w:lvlJc w:val="left"/>
      <w:pPr>
        <w:tabs>
          <w:tab w:val="num" w:pos="360"/>
        </w:tabs>
        <w:ind w:left="360" w:hanging="360"/>
      </w:pPr>
      <w:rPr>
        <w:rFonts w:ascii="Symbol" w:hAnsi="Symbol" w:hint="default"/>
      </w:rPr>
    </w:lvl>
  </w:abstractNum>
  <w:abstractNum w:abstractNumId="11">
    <w:nsid w:val="055F350C"/>
    <w:multiLevelType w:val="hybridMultilevel"/>
    <w:tmpl w:val="740C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F9609F"/>
    <w:multiLevelType w:val="hybridMultilevel"/>
    <w:tmpl w:val="E70C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483140"/>
    <w:multiLevelType w:val="multilevel"/>
    <w:tmpl w:val="2EAE51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2D3451BC"/>
    <w:multiLevelType w:val="multilevel"/>
    <w:tmpl w:val="AFFE55B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5">
    <w:nsid w:val="2D7F0B00"/>
    <w:multiLevelType w:val="multilevel"/>
    <w:tmpl w:val="7ED0679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6">
    <w:nsid w:val="35FA7DD8"/>
    <w:multiLevelType w:val="hybridMultilevel"/>
    <w:tmpl w:val="35D2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9F39EE"/>
    <w:multiLevelType w:val="hybridMultilevel"/>
    <w:tmpl w:val="4AB46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4A319F"/>
    <w:multiLevelType w:val="hybridMultilevel"/>
    <w:tmpl w:val="B6009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9C6544"/>
    <w:multiLevelType w:val="hybridMultilevel"/>
    <w:tmpl w:val="3F0C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B118BA"/>
    <w:multiLevelType w:val="multilevel"/>
    <w:tmpl w:val="63146C6E"/>
    <w:lvl w:ilvl="0">
      <w:start w:val="1"/>
      <w:numFmt w:val="bullet"/>
      <w:lvlText w:val=""/>
      <w:lvlJc w:val="left"/>
      <w:pPr>
        <w:ind w:left="360" w:hanging="288"/>
      </w:pPr>
      <w:rPr>
        <w:rFonts w:ascii="Symbol" w:hAnsi="Symbol" w:hint="default"/>
        <w:color w:val="000000" w:themeColor="text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CCF66EF"/>
    <w:multiLevelType w:val="hybridMultilevel"/>
    <w:tmpl w:val="B000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1B2C8C"/>
    <w:multiLevelType w:val="hybridMultilevel"/>
    <w:tmpl w:val="846E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352059"/>
    <w:multiLevelType w:val="multilevel"/>
    <w:tmpl w:val="4B72B9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5CC11D91"/>
    <w:multiLevelType w:val="hybridMultilevel"/>
    <w:tmpl w:val="F972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640D81"/>
    <w:multiLevelType w:val="multilevel"/>
    <w:tmpl w:val="899CD18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6">
    <w:nsid w:val="5D7A5A4A"/>
    <w:multiLevelType w:val="multilevel"/>
    <w:tmpl w:val="12CA50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5F591138"/>
    <w:multiLevelType w:val="hybridMultilevel"/>
    <w:tmpl w:val="8306E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441C09"/>
    <w:multiLevelType w:val="hybridMultilevel"/>
    <w:tmpl w:val="645C8F74"/>
    <w:lvl w:ilvl="0" w:tplc="D5B6249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CC0A3F"/>
    <w:multiLevelType w:val="hybridMultilevel"/>
    <w:tmpl w:val="95EA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1017C8"/>
    <w:multiLevelType w:val="hybridMultilevel"/>
    <w:tmpl w:val="2B60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C32540"/>
    <w:multiLevelType w:val="multilevel"/>
    <w:tmpl w:val="870AF0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nsid w:val="720A379A"/>
    <w:multiLevelType w:val="multilevel"/>
    <w:tmpl w:val="8EF00B4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3">
    <w:nsid w:val="730B456F"/>
    <w:multiLevelType w:val="hybridMultilevel"/>
    <w:tmpl w:val="6722101E"/>
    <w:lvl w:ilvl="0" w:tplc="04090001">
      <w:start w:val="1"/>
      <w:numFmt w:val="bullet"/>
      <w:lvlText w:val=""/>
      <w:lvlJc w:val="left"/>
      <w:pPr>
        <w:ind w:left="720" w:hanging="360"/>
      </w:pPr>
      <w:rPr>
        <w:rFonts w:ascii="Symbol" w:hAnsi="Symbol" w:hint="default"/>
      </w:rPr>
    </w:lvl>
    <w:lvl w:ilvl="1" w:tplc="22046A8E">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C64487"/>
    <w:multiLevelType w:val="hybridMultilevel"/>
    <w:tmpl w:val="4EB0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DD1A06"/>
    <w:multiLevelType w:val="hybridMultilevel"/>
    <w:tmpl w:val="3796D184"/>
    <w:lvl w:ilvl="0" w:tplc="04090001">
      <w:start w:val="1"/>
      <w:numFmt w:val="bullet"/>
      <w:lvlText w:val=""/>
      <w:lvlJc w:val="left"/>
      <w:pPr>
        <w:ind w:left="720" w:hanging="360"/>
      </w:pPr>
      <w:rPr>
        <w:rFonts w:ascii="Symbol" w:hAnsi="Symbol" w:hint="default"/>
      </w:rPr>
    </w:lvl>
    <w:lvl w:ilvl="1" w:tplc="788641AE">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501B41"/>
    <w:multiLevelType w:val="multilevel"/>
    <w:tmpl w:val="DB0E2A7A"/>
    <w:lvl w:ilvl="0">
      <w:start w:val="1"/>
      <w:numFmt w:val="bullet"/>
      <w:lvlText w:val=""/>
      <w:lvlJc w:val="left"/>
      <w:pPr>
        <w:ind w:left="360" w:hanging="288"/>
      </w:pPr>
      <w:rPr>
        <w:rFonts w:ascii="Symbol" w:hAnsi="Symbol" w:hint="default"/>
        <w:color w:val="000000" w:themeColor="text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27"/>
  </w:num>
  <w:num w:numId="14">
    <w:abstractNumId w:val="28"/>
  </w:num>
  <w:num w:numId="15">
    <w:abstractNumId w:val="29"/>
  </w:num>
  <w:num w:numId="16">
    <w:abstractNumId w:val="35"/>
  </w:num>
  <w:num w:numId="17">
    <w:abstractNumId w:val="19"/>
  </w:num>
  <w:num w:numId="18">
    <w:abstractNumId w:val="32"/>
  </w:num>
  <w:num w:numId="19">
    <w:abstractNumId w:val="34"/>
  </w:num>
  <w:num w:numId="20">
    <w:abstractNumId w:val="15"/>
  </w:num>
  <w:num w:numId="21">
    <w:abstractNumId w:val="16"/>
  </w:num>
  <w:num w:numId="22">
    <w:abstractNumId w:val="14"/>
  </w:num>
  <w:num w:numId="23">
    <w:abstractNumId w:val="25"/>
  </w:num>
  <w:num w:numId="24">
    <w:abstractNumId w:val="21"/>
  </w:num>
  <w:num w:numId="25">
    <w:abstractNumId w:val="20"/>
  </w:num>
  <w:num w:numId="26">
    <w:abstractNumId w:val="36"/>
  </w:num>
  <w:num w:numId="27">
    <w:abstractNumId w:val="31"/>
  </w:num>
  <w:num w:numId="28">
    <w:abstractNumId w:val="33"/>
  </w:num>
  <w:num w:numId="29">
    <w:abstractNumId w:val="23"/>
  </w:num>
  <w:num w:numId="30">
    <w:abstractNumId w:val="17"/>
  </w:num>
  <w:num w:numId="31">
    <w:abstractNumId w:val="13"/>
  </w:num>
  <w:num w:numId="32">
    <w:abstractNumId w:val="26"/>
  </w:num>
  <w:num w:numId="33">
    <w:abstractNumId w:val="30"/>
  </w:num>
  <w:num w:numId="34">
    <w:abstractNumId w:val="22"/>
  </w:num>
  <w:num w:numId="35">
    <w:abstractNumId w:val="24"/>
  </w:num>
  <w:num w:numId="36">
    <w:abstractNumId w:val="18"/>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21"/>
    <w:rsid w:val="0001589D"/>
    <w:rsid w:val="00016DCF"/>
    <w:rsid w:val="0003303F"/>
    <w:rsid w:val="00041474"/>
    <w:rsid w:val="000424C0"/>
    <w:rsid w:val="00084AE3"/>
    <w:rsid w:val="00085C77"/>
    <w:rsid w:val="00086E8E"/>
    <w:rsid w:val="000911D2"/>
    <w:rsid w:val="000A3667"/>
    <w:rsid w:val="000C4E1E"/>
    <w:rsid w:val="000E45EB"/>
    <w:rsid w:val="00104034"/>
    <w:rsid w:val="00104BE2"/>
    <w:rsid w:val="00112223"/>
    <w:rsid w:val="00123141"/>
    <w:rsid w:val="00140A75"/>
    <w:rsid w:val="00147255"/>
    <w:rsid w:val="00152797"/>
    <w:rsid w:val="00164C50"/>
    <w:rsid w:val="00193992"/>
    <w:rsid w:val="001C566B"/>
    <w:rsid w:val="0021606B"/>
    <w:rsid w:val="002178A2"/>
    <w:rsid w:val="00221D27"/>
    <w:rsid w:val="00231210"/>
    <w:rsid w:val="00250BBF"/>
    <w:rsid w:val="002624E6"/>
    <w:rsid w:val="002964D8"/>
    <w:rsid w:val="002B4657"/>
    <w:rsid w:val="002C597F"/>
    <w:rsid w:val="002F56D8"/>
    <w:rsid w:val="0033749A"/>
    <w:rsid w:val="00355453"/>
    <w:rsid w:val="003874D5"/>
    <w:rsid w:val="0039017B"/>
    <w:rsid w:val="003C10BF"/>
    <w:rsid w:val="003D59A9"/>
    <w:rsid w:val="00425352"/>
    <w:rsid w:val="0044162D"/>
    <w:rsid w:val="00444E7A"/>
    <w:rsid w:val="00452D2D"/>
    <w:rsid w:val="004614C1"/>
    <w:rsid w:val="00493CB3"/>
    <w:rsid w:val="004A2555"/>
    <w:rsid w:val="004C5582"/>
    <w:rsid w:val="004C5CAD"/>
    <w:rsid w:val="004D2795"/>
    <w:rsid w:val="004D6ACA"/>
    <w:rsid w:val="004F7ADA"/>
    <w:rsid w:val="005164B4"/>
    <w:rsid w:val="00524D26"/>
    <w:rsid w:val="00532C2C"/>
    <w:rsid w:val="00547B00"/>
    <w:rsid w:val="00571198"/>
    <w:rsid w:val="00571851"/>
    <w:rsid w:val="005D0E6E"/>
    <w:rsid w:val="005E2F22"/>
    <w:rsid w:val="00617BCE"/>
    <w:rsid w:val="00630672"/>
    <w:rsid w:val="00645373"/>
    <w:rsid w:val="00690481"/>
    <w:rsid w:val="006A0A39"/>
    <w:rsid w:val="006E0851"/>
    <w:rsid w:val="006F14AC"/>
    <w:rsid w:val="00720B6B"/>
    <w:rsid w:val="00723EAC"/>
    <w:rsid w:val="00731415"/>
    <w:rsid w:val="00764E56"/>
    <w:rsid w:val="007708F6"/>
    <w:rsid w:val="00775F33"/>
    <w:rsid w:val="007B40A3"/>
    <w:rsid w:val="007C3127"/>
    <w:rsid w:val="007C3231"/>
    <w:rsid w:val="007D1DD3"/>
    <w:rsid w:val="00812241"/>
    <w:rsid w:val="00817BB5"/>
    <w:rsid w:val="00840531"/>
    <w:rsid w:val="00857896"/>
    <w:rsid w:val="00871F6F"/>
    <w:rsid w:val="00872CCD"/>
    <w:rsid w:val="00893CA8"/>
    <w:rsid w:val="0089616C"/>
    <w:rsid w:val="008A2BFF"/>
    <w:rsid w:val="008E3629"/>
    <w:rsid w:val="008F2EA8"/>
    <w:rsid w:val="009047CC"/>
    <w:rsid w:val="00905BA4"/>
    <w:rsid w:val="00982DDE"/>
    <w:rsid w:val="00983951"/>
    <w:rsid w:val="009866C9"/>
    <w:rsid w:val="009A23DD"/>
    <w:rsid w:val="009B4351"/>
    <w:rsid w:val="009B6596"/>
    <w:rsid w:val="009C7ACF"/>
    <w:rsid w:val="009D2F11"/>
    <w:rsid w:val="009E2421"/>
    <w:rsid w:val="00A037CA"/>
    <w:rsid w:val="00A1485C"/>
    <w:rsid w:val="00A327AD"/>
    <w:rsid w:val="00A57CA7"/>
    <w:rsid w:val="00AB0CF1"/>
    <w:rsid w:val="00AC0919"/>
    <w:rsid w:val="00AC1531"/>
    <w:rsid w:val="00AF4379"/>
    <w:rsid w:val="00B02761"/>
    <w:rsid w:val="00B05A4C"/>
    <w:rsid w:val="00B06089"/>
    <w:rsid w:val="00B44094"/>
    <w:rsid w:val="00B56BCF"/>
    <w:rsid w:val="00B815AC"/>
    <w:rsid w:val="00B8207F"/>
    <w:rsid w:val="00BA0E9F"/>
    <w:rsid w:val="00BC0CFF"/>
    <w:rsid w:val="00C0676F"/>
    <w:rsid w:val="00C1231B"/>
    <w:rsid w:val="00C229E0"/>
    <w:rsid w:val="00C768E7"/>
    <w:rsid w:val="00C8252F"/>
    <w:rsid w:val="00CB0967"/>
    <w:rsid w:val="00CB1B3D"/>
    <w:rsid w:val="00CC1C61"/>
    <w:rsid w:val="00CD7048"/>
    <w:rsid w:val="00D41792"/>
    <w:rsid w:val="00D90BA5"/>
    <w:rsid w:val="00DC1560"/>
    <w:rsid w:val="00DE7399"/>
    <w:rsid w:val="00E374B1"/>
    <w:rsid w:val="00E42004"/>
    <w:rsid w:val="00E873F1"/>
    <w:rsid w:val="00E971C3"/>
    <w:rsid w:val="00ED4EB5"/>
    <w:rsid w:val="00ED5BE6"/>
    <w:rsid w:val="00EF27A4"/>
    <w:rsid w:val="00EF432E"/>
    <w:rsid w:val="00F05F8C"/>
    <w:rsid w:val="00F34E9E"/>
    <w:rsid w:val="00F43C51"/>
    <w:rsid w:val="00F5582B"/>
    <w:rsid w:val="00F63CDA"/>
    <w:rsid w:val="00F664D0"/>
    <w:rsid w:val="00F812DF"/>
    <w:rsid w:val="00F918B2"/>
    <w:rsid w:val="00FA3C4E"/>
    <w:rsid w:val="00FD278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2421"/>
    <w:pPr>
      <w:spacing w:after="120" w:line="259" w:lineRule="auto"/>
    </w:pPr>
    <w:rPr>
      <w:rFonts w:ascii="Arial" w:hAnsi="Arial"/>
      <w:szCs w:val="22"/>
    </w:rPr>
  </w:style>
  <w:style w:type="paragraph" w:styleId="Heading1">
    <w:name w:val="heading 1"/>
    <w:basedOn w:val="Normal"/>
    <w:next w:val="Normal"/>
    <w:link w:val="Heading1Char"/>
    <w:uiPriority w:val="9"/>
    <w:qFormat/>
    <w:rsid w:val="00AC0919"/>
    <w:pPr>
      <w:keepNext/>
      <w:keepLines/>
      <w:spacing w:before="240" w:after="360"/>
      <w:jc w:val="center"/>
      <w:outlineLvl w:val="0"/>
    </w:pPr>
    <w:rPr>
      <w:rFonts w:eastAsiaTheme="majorEastAsia" w:cstheme="majorBidi"/>
      <w:b/>
      <w:bCs/>
      <w:color w:val="000000" w:themeColor="text1"/>
      <w:sz w:val="36"/>
      <w:szCs w:val="32"/>
    </w:rPr>
  </w:style>
  <w:style w:type="paragraph" w:styleId="Heading2">
    <w:name w:val="heading 2"/>
    <w:basedOn w:val="Normal"/>
    <w:next w:val="Normal"/>
    <w:link w:val="Heading2Char"/>
    <w:uiPriority w:val="9"/>
    <w:unhideWhenUsed/>
    <w:qFormat/>
    <w:rsid w:val="00AC0919"/>
    <w:pPr>
      <w:keepNext/>
      <w:keepLines/>
      <w:spacing w:before="36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AC0919"/>
    <w:pPr>
      <w:keepNext/>
      <w:keepLines/>
      <w:spacing w:before="240"/>
      <w:outlineLvl w:val="2"/>
    </w:pPr>
    <w:rPr>
      <w:rFonts w:eastAsiaTheme="majorEastAsia" w:cstheme="majorBidi"/>
      <w:b/>
      <w:bCs/>
      <w:color w:val="000000" w:themeColor="text1"/>
      <w:szCs w:val="24"/>
      <w:u w:val="single"/>
    </w:rPr>
  </w:style>
  <w:style w:type="paragraph" w:styleId="Heading4">
    <w:name w:val="heading 4"/>
    <w:basedOn w:val="Normal"/>
    <w:next w:val="Normal"/>
    <w:link w:val="Heading4Char"/>
    <w:uiPriority w:val="9"/>
    <w:unhideWhenUsed/>
    <w:qFormat/>
    <w:rsid w:val="00AC0919"/>
    <w:pPr>
      <w:keepNext/>
      <w:keepLines/>
      <w:spacing w:before="240"/>
      <w:outlineLvl w:val="3"/>
    </w:pPr>
    <w:rPr>
      <w:rFonts w:eastAsiaTheme="majorEastAsia" w:cstheme="majorBidi"/>
      <w:iCs/>
      <w:color w:val="000000" w:themeColor="text1"/>
      <w:szCs w:val="24"/>
      <w:u w:val="single"/>
    </w:rPr>
  </w:style>
  <w:style w:type="paragraph" w:styleId="Heading5">
    <w:name w:val="heading 5"/>
    <w:basedOn w:val="Normal"/>
    <w:next w:val="Normal"/>
    <w:link w:val="Heading5Char"/>
    <w:uiPriority w:val="9"/>
    <w:unhideWhenUsed/>
    <w:qFormat/>
    <w:rsid w:val="00AC0919"/>
    <w:pPr>
      <w:keepNext/>
      <w:keepLines/>
      <w:spacing w:before="120"/>
      <w:outlineLvl w:val="4"/>
    </w:pPr>
    <w:rPr>
      <w:rFonts w:eastAsiaTheme="majorEastAsia" w:cstheme="majorBidi"/>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919"/>
    <w:rPr>
      <w:rFonts w:ascii="Arial" w:eastAsiaTheme="majorEastAsia" w:hAnsi="Arial" w:cstheme="majorBidi"/>
      <w:b/>
      <w:bCs/>
      <w:color w:val="000000" w:themeColor="text1"/>
      <w:sz w:val="36"/>
      <w:szCs w:val="32"/>
    </w:rPr>
  </w:style>
  <w:style w:type="character" w:customStyle="1" w:styleId="Heading2Char">
    <w:name w:val="Heading 2 Char"/>
    <w:basedOn w:val="DefaultParagraphFont"/>
    <w:link w:val="Heading2"/>
    <w:uiPriority w:val="9"/>
    <w:rsid w:val="00AC0919"/>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uiPriority w:val="9"/>
    <w:rsid w:val="00AC0919"/>
    <w:rPr>
      <w:rFonts w:ascii="Arial" w:eastAsiaTheme="majorEastAsia" w:hAnsi="Arial" w:cstheme="majorBidi"/>
      <w:b/>
      <w:bCs/>
      <w:color w:val="000000" w:themeColor="text1"/>
      <w:u w:val="single"/>
    </w:rPr>
  </w:style>
  <w:style w:type="paragraph" w:styleId="Title">
    <w:name w:val="Title"/>
    <w:basedOn w:val="Normal"/>
    <w:next w:val="Normal"/>
    <w:link w:val="TitleChar"/>
    <w:uiPriority w:val="10"/>
    <w:qFormat/>
    <w:rsid w:val="00A037CA"/>
    <w:pPr>
      <w:spacing w:before="3000"/>
      <w:contextualSpacing/>
      <w:jc w:val="center"/>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uiPriority w:val="10"/>
    <w:rsid w:val="00A037CA"/>
    <w:rPr>
      <w:rFonts w:ascii="Arial" w:eastAsiaTheme="majorEastAsia" w:hAnsi="Arial" w:cstheme="majorBidi"/>
      <w:color w:val="000000" w:themeColor="text1"/>
      <w:spacing w:val="5"/>
      <w:kern w:val="28"/>
      <w:sz w:val="52"/>
      <w:szCs w:val="52"/>
    </w:rPr>
  </w:style>
  <w:style w:type="character" w:styleId="Strong">
    <w:name w:val="Strong"/>
    <w:basedOn w:val="DefaultParagraphFont"/>
    <w:uiPriority w:val="22"/>
    <w:qFormat/>
    <w:rsid w:val="00AC0919"/>
    <w:rPr>
      <w:b/>
      <w:bCs/>
    </w:rPr>
  </w:style>
  <w:style w:type="paragraph" w:styleId="ListParagraph">
    <w:name w:val="List Paragraph"/>
    <w:basedOn w:val="Normal"/>
    <w:uiPriority w:val="34"/>
    <w:qFormat/>
    <w:rsid w:val="00AC0919"/>
    <w:pPr>
      <w:ind w:left="720"/>
      <w:contextualSpacing/>
    </w:pPr>
    <w:rPr>
      <w:rFonts w:eastAsiaTheme="minorEastAsia"/>
      <w:szCs w:val="24"/>
    </w:rPr>
  </w:style>
  <w:style w:type="character" w:customStyle="1" w:styleId="Heading4Char">
    <w:name w:val="Heading 4 Char"/>
    <w:basedOn w:val="DefaultParagraphFont"/>
    <w:link w:val="Heading4"/>
    <w:uiPriority w:val="9"/>
    <w:rsid w:val="00AC0919"/>
    <w:rPr>
      <w:rFonts w:ascii="Arial" w:eastAsiaTheme="majorEastAsia" w:hAnsi="Arial" w:cstheme="majorBidi"/>
      <w:iCs/>
      <w:color w:val="000000" w:themeColor="text1"/>
      <w:u w:val="single"/>
    </w:rPr>
  </w:style>
  <w:style w:type="character" w:customStyle="1" w:styleId="Heading5Char">
    <w:name w:val="Heading 5 Char"/>
    <w:basedOn w:val="DefaultParagraphFont"/>
    <w:link w:val="Heading5"/>
    <w:uiPriority w:val="9"/>
    <w:rsid w:val="00AC0919"/>
    <w:rPr>
      <w:rFonts w:ascii="Arial" w:eastAsiaTheme="majorEastAsia" w:hAnsi="Arial" w:cstheme="majorBidi"/>
      <w:i/>
      <w:color w:val="000000" w:themeColor="text1"/>
    </w:rPr>
  </w:style>
  <w:style w:type="character" w:styleId="Emphasis">
    <w:name w:val="Emphasis"/>
    <w:basedOn w:val="DefaultParagraphFont"/>
    <w:uiPriority w:val="20"/>
    <w:qFormat/>
    <w:rsid w:val="00AC0919"/>
    <w:rPr>
      <w:i/>
      <w:iCs/>
    </w:rPr>
  </w:style>
  <w:style w:type="paragraph" w:customStyle="1" w:styleId="FundingStatement">
    <w:name w:val="FundingStatement"/>
    <w:basedOn w:val="BlockText"/>
    <w:qFormat/>
    <w:rsid w:val="00AC0919"/>
    <w:pPr>
      <w:pBdr>
        <w:top w:val="single" w:sz="18" w:space="10" w:color="4F81BD" w:themeColor="accent1"/>
        <w:left w:val="single" w:sz="18" w:space="10" w:color="4F81BD" w:themeColor="accent1"/>
        <w:bottom w:val="single" w:sz="18" w:space="10" w:color="4F81BD" w:themeColor="accent1"/>
        <w:right w:val="single" w:sz="18" w:space="10" w:color="4F81BD" w:themeColor="accent1"/>
      </w:pBdr>
      <w:spacing w:before="720"/>
      <w:ind w:left="0" w:right="0"/>
      <w:jc w:val="center"/>
    </w:pPr>
    <w:rPr>
      <w:rFonts w:ascii="Arial" w:hAnsi="Arial"/>
      <w:i w:val="0"/>
      <w:color w:val="000000" w:themeColor="text1"/>
      <w:sz w:val="22"/>
    </w:rPr>
  </w:style>
  <w:style w:type="paragraph" w:styleId="BlockText">
    <w:name w:val="Block Text"/>
    <w:basedOn w:val="Normal"/>
    <w:uiPriority w:val="99"/>
    <w:semiHidden/>
    <w:unhideWhenUsed/>
    <w:rsid w:val="00BA0E9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szCs w:val="24"/>
    </w:rPr>
  </w:style>
  <w:style w:type="paragraph" w:styleId="Header">
    <w:name w:val="header"/>
    <w:basedOn w:val="Normal"/>
    <w:link w:val="HeaderChar"/>
    <w:uiPriority w:val="99"/>
    <w:unhideWhenUsed/>
    <w:rsid w:val="00BA0E9F"/>
    <w:pPr>
      <w:tabs>
        <w:tab w:val="center" w:pos="4680"/>
        <w:tab w:val="right" w:pos="9360"/>
      </w:tabs>
      <w:spacing w:after="0" w:line="240" w:lineRule="auto"/>
    </w:pPr>
    <w:rPr>
      <w:rFonts w:eastAsiaTheme="minorEastAsia"/>
      <w:szCs w:val="24"/>
    </w:rPr>
  </w:style>
  <w:style w:type="character" w:customStyle="1" w:styleId="HeaderChar">
    <w:name w:val="Header Char"/>
    <w:basedOn w:val="DefaultParagraphFont"/>
    <w:link w:val="Header"/>
    <w:uiPriority w:val="99"/>
    <w:rsid w:val="00BA0E9F"/>
    <w:rPr>
      <w:rFonts w:ascii="Arial" w:hAnsi="Arial"/>
    </w:rPr>
  </w:style>
  <w:style w:type="paragraph" w:styleId="Footer">
    <w:name w:val="footer"/>
    <w:basedOn w:val="Normal"/>
    <w:link w:val="FooterChar"/>
    <w:uiPriority w:val="99"/>
    <w:unhideWhenUsed/>
    <w:qFormat/>
    <w:rsid w:val="00AC0919"/>
    <w:pPr>
      <w:tabs>
        <w:tab w:val="center" w:pos="4680"/>
        <w:tab w:val="right" w:pos="9360"/>
      </w:tabs>
      <w:spacing w:before="120" w:line="240" w:lineRule="auto"/>
      <w:contextualSpacing/>
      <w:jc w:val="center"/>
    </w:pPr>
    <w:rPr>
      <w:rFonts w:eastAsiaTheme="minorEastAsia"/>
      <w:sz w:val="18"/>
      <w:szCs w:val="24"/>
    </w:rPr>
  </w:style>
  <w:style w:type="character" w:customStyle="1" w:styleId="FooterChar">
    <w:name w:val="Footer Char"/>
    <w:basedOn w:val="DefaultParagraphFont"/>
    <w:link w:val="Footer"/>
    <w:uiPriority w:val="99"/>
    <w:rsid w:val="00AC0919"/>
    <w:rPr>
      <w:rFonts w:ascii="Arial" w:eastAsiaTheme="minorEastAsia" w:hAnsi="Arial"/>
      <w:sz w:val="18"/>
    </w:rPr>
  </w:style>
  <w:style w:type="paragraph" w:customStyle="1" w:styleId="AgencyName">
    <w:name w:val="Agency Name"/>
    <w:basedOn w:val="Normal"/>
    <w:qFormat/>
    <w:rsid w:val="00A037CA"/>
    <w:pPr>
      <w:spacing w:before="4800" w:after="240"/>
      <w:jc w:val="center"/>
    </w:pPr>
    <w:rPr>
      <w:noProof/>
    </w:rPr>
  </w:style>
  <w:style w:type="paragraph" w:customStyle="1" w:styleId="FundingStatement0">
    <w:name w:val="Funding Statement"/>
    <w:basedOn w:val="BlockText"/>
    <w:qFormat/>
    <w:rsid w:val="00A037CA"/>
    <w:pPr>
      <w:pBdr>
        <w:top w:val="single" w:sz="18" w:space="10" w:color="244061" w:themeColor="accent1" w:themeShade="80"/>
        <w:left w:val="single" w:sz="18" w:space="10" w:color="244061" w:themeColor="accent1" w:themeShade="80"/>
        <w:bottom w:val="single" w:sz="18" w:space="10" w:color="244061" w:themeColor="accent1" w:themeShade="80"/>
        <w:right w:val="single" w:sz="18" w:space="10" w:color="244061" w:themeColor="accent1" w:themeShade="80"/>
      </w:pBdr>
      <w:spacing w:after="360"/>
      <w:ind w:left="0" w:right="0"/>
      <w:jc w:val="center"/>
    </w:pPr>
    <w:rPr>
      <w:rFonts w:ascii="Arial" w:hAnsi="Arial"/>
      <w:i w:val="0"/>
      <w:color w:val="000000" w:themeColor="text1"/>
      <w:szCs w:val="22"/>
    </w:rPr>
  </w:style>
  <w:style w:type="paragraph" w:customStyle="1" w:styleId="Normal1">
    <w:name w:val="Normal1"/>
    <w:rsid w:val="000A3667"/>
    <w:pPr>
      <w:widowControl w:val="0"/>
      <w:spacing w:after="120" w:line="259" w:lineRule="auto"/>
    </w:pPr>
    <w:rPr>
      <w:rFonts w:ascii="Arial" w:eastAsia="Arial" w:hAnsi="Arial" w:cs="Arial"/>
      <w:color w:val="000000"/>
    </w:rPr>
  </w:style>
  <w:style w:type="paragraph" w:styleId="Caption">
    <w:name w:val="caption"/>
    <w:basedOn w:val="Normal"/>
    <w:next w:val="Normal"/>
    <w:uiPriority w:val="35"/>
    <w:unhideWhenUsed/>
    <w:qFormat/>
    <w:rsid w:val="00085C77"/>
    <w:pPr>
      <w:spacing w:after="200" w:line="240" w:lineRule="auto"/>
    </w:pPr>
    <w:rPr>
      <w:iCs/>
      <w:color w:val="000000" w:themeColor="text1"/>
      <w:sz w:val="22"/>
      <w:szCs w:val="18"/>
    </w:rPr>
  </w:style>
  <w:style w:type="paragraph" w:styleId="TOCHeading">
    <w:name w:val="TOC Heading"/>
    <w:basedOn w:val="Heading1"/>
    <w:next w:val="Normal"/>
    <w:uiPriority w:val="39"/>
    <w:unhideWhenUsed/>
    <w:qFormat/>
    <w:rsid w:val="00F5582B"/>
    <w:pPr>
      <w:spacing w:after="120"/>
      <w:outlineLvl w:val="9"/>
    </w:pPr>
    <w:rPr>
      <w:sz w:val="32"/>
      <w:szCs w:val="28"/>
    </w:rPr>
  </w:style>
  <w:style w:type="paragraph" w:styleId="TOC2">
    <w:name w:val="toc 2"/>
    <w:basedOn w:val="Normal"/>
    <w:next w:val="Normal"/>
    <w:autoRedefine/>
    <w:uiPriority w:val="39"/>
    <w:unhideWhenUsed/>
    <w:rsid w:val="00ED5BE6"/>
    <w:pPr>
      <w:tabs>
        <w:tab w:val="right" w:leader="dot" w:pos="9346"/>
      </w:tabs>
    </w:pPr>
    <w:rPr>
      <w:bCs/>
    </w:rPr>
  </w:style>
  <w:style w:type="paragraph" w:styleId="TOC3">
    <w:name w:val="toc 3"/>
    <w:basedOn w:val="Normal"/>
    <w:next w:val="Normal"/>
    <w:autoRedefine/>
    <w:uiPriority w:val="39"/>
    <w:unhideWhenUsed/>
    <w:rsid w:val="00F5582B"/>
    <w:pPr>
      <w:tabs>
        <w:tab w:val="right" w:leader="dot" w:pos="9350"/>
      </w:tabs>
      <w:spacing w:after="60"/>
      <w:ind w:left="475"/>
    </w:pPr>
  </w:style>
  <w:style w:type="character" w:styleId="Hyperlink">
    <w:name w:val="Hyperlink"/>
    <w:basedOn w:val="DefaultParagraphFont"/>
    <w:uiPriority w:val="99"/>
    <w:unhideWhenUsed/>
    <w:rsid w:val="004D2795"/>
    <w:rPr>
      <w:color w:val="0000FF" w:themeColor="hyperlink"/>
      <w:u w:val="single"/>
    </w:rPr>
  </w:style>
  <w:style w:type="paragraph" w:styleId="TOC1">
    <w:name w:val="toc 1"/>
    <w:basedOn w:val="Normal"/>
    <w:next w:val="Normal"/>
    <w:autoRedefine/>
    <w:uiPriority w:val="39"/>
    <w:unhideWhenUsed/>
    <w:rsid w:val="00547B00"/>
    <w:pPr>
      <w:tabs>
        <w:tab w:val="right" w:leader="dot" w:pos="9346"/>
      </w:tabs>
      <w:spacing w:before="120"/>
    </w:pPr>
    <w:rPr>
      <w:bCs/>
      <w:szCs w:val="24"/>
    </w:rPr>
  </w:style>
  <w:style w:type="paragraph" w:styleId="TOC4">
    <w:name w:val="toc 4"/>
    <w:basedOn w:val="Normal"/>
    <w:next w:val="Normal"/>
    <w:autoRedefine/>
    <w:uiPriority w:val="39"/>
    <w:unhideWhenUsed/>
    <w:rsid w:val="00B02761"/>
    <w:pPr>
      <w:tabs>
        <w:tab w:val="right" w:leader="dot" w:pos="9350"/>
      </w:tabs>
      <w:spacing w:after="60"/>
      <w:ind w:left="720"/>
    </w:pPr>
    <w:rPr>
      <w:szCs w:val="20"/>
    </w:rPr>
  </w:style>
  <w:style w:type="paragraph" w:styleId="TOC5">
    <w:name w:val="toc 5"/>
    <w:basedOn w:val="Normal"/>
    <w:next w:val="Normal"/>
    <w:autoRedefine/>
    <w:uiPriority w:val="39"/>
    <w:unhideWhenUsed/>
    <w:rsid w:val="004D2795"/>
    <w:pPr>
      <w:spacing w:after="0"/>
      <w:ind w:left="960"/>
    </w:pPr>
    <w:rPr>
      <w:rFonts w:asciiTheme="minorHAnsi" w:hAnsiTheme="minorHAnsi"/>
      <w:sz w:val="20"/>
      <w:szCs w:val="20"/>
    </w:rPr>
  </w:style>
  <w:style w:type="paragraph" w:styleId="TOC6">
    <w:name w:val="toc 6"/>
    <w:basedOn w:val="Normal"/>
    <w:next w:val="Normal"/>
    <w:autoRedefine/>
    <w:uiPriority w:val="39"/>
    <w:unhideWhenUsed/>
    <w:rsid w:val="004D2795"/>
    <w:pPr>
      <w:spacing w:after="0"/>
      <w:ind w:left="1200"/>
    </w:pPr>
    <w:rPr>
      <w:rFonts w:asciiTheme="minorHAnsi" w:hAnsiTheme="minorHAnsi"/>
      <w:sz w:val="20"/>
      <w:szCs w:val="20"/>
    </w:rPr>
  </w:style>
  <w:style w:type="paragraph" w:styleId="TOC7">
    <w:name w:val="toc 7"/>
    <w:basedOn w:val="Normal"/>
    <w:next w:val="Normal"/>
    <w:autoRedefine/>
    <w:uiPriority w:val="39"/>
    <w:unhideWhenUsed/>
    <w:rsid w:val="004D2795"/>
    <w:pPr>
      <w:spacing w:after="0"/>
      <w:ind w:left="1440"/>
    </w:pPr>
    <w:rPr>
      <w:rFonts w:asciiTheme="minorHAnsi" w:hAnsiTheme="minorHAnsi"/>
      <w:sz w:val="20"/>
      <w:szCs w:val="20"/>
    </w:rPr>
  </w:style>
  <w:style w:type="paragraph" w:styleId="TOC8">
    <w:name w:val="toc 8"/>
    <w:basedOn w:val="Normal"/>
    <w:next w:val="Normal"/>
    <w:autoRedefine/>
    <w:uiPriority w:val="39"/>
    <w:unhideWhenUsed/>
    <w:rsid w:val="004D2795"/>
    <w:pPr>
      <w:spacing w:after="0"/>
      <w:ind w:left="1680"/>
    </w:pPr>
    <w:rPr>
      <w:rFonts w:asciiTheme="minorHAnsi" w:hAnsiTheme="minorHAnsi"/>
      <w:sz w:val="20"/>
      <w:szCs w:val="20"/>
    </w:rPr>
  </w:style>
  <w:style w:type="paragraph" w:styleId="TOC9">
    <w:name w:val="toc 9"/>
    <w:basedOn w:val="Normal"/>
    <w:next w:val="Normal"/>
    <w:autoRedefine/>
    <w:uiPriority w:val="39"/>
    <w:unhideWhenUsed/>
    <w:rsid w:val="004D2795"/>
    <w:pPr>
      <w:spacing w:after="0"/>
      <w:ind w:left="1920"/>
    </w:pPr>
    <w:rPr>
      <w:rFonts w:asciiTheme="minorHAnsi" w:hAnsiTheme="minorHAnsi"/>
      <w:sz w:val="20"/>
      <w:szCs w:val="20"/>
    </w:rPr>
  </w:style>
  <w:style w:type="paragraph" w:styleId="NormalWeb">
    <w:name w:val="Normal (Web)"/>
    <w:basedOn w:val="Normal"/>
    <w:uiPriority w:val="99"/>
    <w:semiHidden/>
    <w:unhideWhenUsed/>
    <w:rsid w:val="00C1231B"/>
    <w:pPr>
      <w:spacing w:before="100" w:beforeAutospacing="1" w:after="100" w:afterAutospacing="1" w:line="240" w:lineRule="auto"/>
    </w:pPr>
    <w:rPr>
      <w:rFonts w:ascii="Times New Roman" w:hAnsi="Times New Roman" w:cs="Times New Roman"/>
      <w:szCs w:val="24"/>
    </w:rPr>
  </w:style>
  <w:style w:type="paragraph" w:styleId="BalloonText">
    <w:name w:val="Balloon Text"/>
    <w:basedOn w:val="Normal"/>
    <w:link w:val="BalloonTextChar"/>
    <w:uiPriority w:val="99"/>
    <w:semiHidden/>
    <w:unhideWhenUsed/>
    <w:rsid w:val="006A0A39"/>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A0A39"/>
    <w:rPr>
      <w:rFonts w:ascii="Times New Roman" w:hAnsi="Times New Roman"/>
      <w:sz w:val="18"/>
      <w:szCs w:val="18"/>
    </w:rPr>
  </w:style>
  <w:style w:type="character" w:styleId="CommentReference">
    <w:name w:val="annotation reference"/>
    <w:basedOn w:val="DefaultParagraphFont"/>
    <w:uiPriority w:val="99"/>
    <w:semiHidden/>
    <w:unhideWhenUsed/>
    <w:rsid w:val="006A0A39"/>
    <w:rPr>
      <w:sz w:val="18"/>
      <w:szCs w:val="18"/>
    </w:rPr>
  </w:style>
  <w:style w:type="paragraph" w:styleId="CommentText">
    <w:name w:val="annotation text"/>
    <w:basedOn w:val="Normal"/>
    <w:link w:val="CommentTextChar"/>
    <w:uiPriority w:val="99"/>
    <w:semiHidden/>
    <w:unhideWhenUsed/>
    <w:rsid w:val="006A0A39"/>
    <w:pPr>
      <w:spacing w:line="240" w:lineRule="auto"/>
    </w:pPr>
    <w:rPr>
      <w:szCs w:val="24"/>
    </w:rPr>
  </w:style>
  <w:style w:type="character" w:customStyle="1" w:styleId="CommentTextChar">
    <w:name w:val="Comment Text Char"/>
    <w:basedOn w:val="DefaultParagraphFont"/>
    <w:link w:val="CommentText"/>
    <w:uiPriority w:val="99"/>
    <w:semiHidden/>
    <w:rsid w:val="006A0A39"/>
    <w:rPr>
      <w:rFonts w:ascii="Arial" w:hAnsi="Arial"/>
    </w:rPr>
  </w:style>
  <w:style w:type="paragraph" w:styleId="CommentSubject">
    <w:name w:val="annotation subject"/>
    <w:basedOn w:val="CommentText"/>
    <w:next w:val="CommentText"/>
    <w:link w:val="CommentSubjectChar"/>
    <w:uiPriority w:val="99"/>
    <w:semiHidden/>
    <w:unhideWhenUsed/>
    <w:rsid w:val="006A0A39"/>
    <w:rPr>
      <w:b/>
      <w:bCs/>
      <w:sz w:val="20"/>
      <w:szCs w:val="20"/>
    </w:rPr>
  </w:style>
  <w:style w:type="character" w:customStyle="1" w:styleId="CommentSubjectChar">
    <w:name w:val="Comment Subject Char"/>
    <w:basedOn w:val="CommentTextChar"/>
    <w:link w:val="CommentSubject"/>
    <w:uiPriority w:val="99"/>
    <w:semiHidden/>
    <w:rsid w:val="006A0A39"/>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507468">
      <w:bodyDiv w:val="1"/>
      <w:marLeft w:val="0"/>
      <w:marRight w:val="0"/>
      <w:marTop w:val="0"/>
      <w:marBottom w:val="0"/>
      <w:divBdr>
        <w:top w:val="none" w:sz="0" w:space="0" w:color="auto"/>
        <w:left w:val="none" w:sz="0" w:space="0" w:color="auto"/>
        <w:bottom w:val="none" w:sz="0" w:space="0" w:color="auto"/>
        <w:right w:val="none" w:sz="0" w:space="0" w:color="auto"/>
      </w:divBdr>
    </w:div>
    <w:div w:id="616066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30344E-C733-5A4D-A58D-AD3C1F27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1818</Words>
  <Characters>10364</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MTSS Professional Learning Overview: Tier 1 Reading</vt:lpstr>
    </vt:vector>
  </TitlesOfParts>
  <Company/>
  <LinksUpToDate>false</LinksUpToDate>
  <CharactersWithSpaces>12158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MTSS Professional Learning Overview: Tier 1 Reading</dc:title>
  <dc:subject>Professional learning forTier 1 reading</dc:subject>
  <dc:creator>Michigan's Integrated Behavior and Learning Support Initiative</dc:creator>
  <cp:keywords>DIT Installation, MTSS professional learning, Tier 1 reading</cp:keywords>
  <dc:description/>
  <cp:lastModifiedBy>Kim St Martin</cp:lastModifiedBy>
  <cp:revision>8</cp:revision>
  <cp:lastPrinted>2017-06-19T17:37:00Z</cp:lastPrinted>
  <dcterms:created xsi:type="dcterms:W3CDTF">2019-02-15T18:20:00Z</dcterms:created>
  <dcterms:modified xsi:type="dcterms:W3CDTF">2019-02-19T15:24:00Z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